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13D5" w14:textId="269E4D8A" w:rsidR="008F4788" w:rsidRDefault="0081278C">
      <w:pPr>
        <w:pStyle w:val="Body"/>
        <w:jc w:val="right"/>
      </w:pPr>
      <w:r>
        <w:rPr>
          <w:b/>
          <w:bCs/>
        </w:rPr>
        <w:t>American Society of Regional Anesthesia and Pain Medicine</w:t>
      </w:r>
    </w:p>
    <w:p w14:paraId="453EBA87" w14:textId="22117FDA" w:rsidR="008F4788" w:rsidRDefault="00B947F1">
      <w:pPr>
        <w:pStyle w:val="Body"/>
      </w:pPr>
      <w:r>
        <w:rPr>
          <w:noProof/>
        </w:rPr>
        <w:drawing>
          <wp:anchor distT="57150" distB="57150" distL="57150" distR="57150" simplePos="0" relativeHeight="251659264" behindDoc="0" locked="0" layoutInCell="1" allowOverlap="1" wp14:anchorId="12271A9C" wp14:editId="0BB62A74">
            <wp:simplePos x="0" y="0"/>
            <wp:positionH relativeFrom="column">
              <wp:posOffset>0</wp:posOffset>
            </wp:positionH>
            <wp:positionV relativeFrom="line">
              <wp:posOffset>51435</wp:posOffset>
            </wp:positionV>
            <wp:extent cx="1485900" cy="659765"/>
            <wp:effectExtent l="0" t="0" r="0" b="6985"/>
            <wp:wrapThrough wrapText="right"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659765"/>
                    </a:xfrm>
                    <a:prstGeom prst="rect">
                      <a:avLst/>
                    </a:prstGeom>
                    <a:ln w="12700" cap="flat">
                      <a:noFill/>
                      <a:miter lim="400000"/>
                    </a:ln>
                    <a:effectLst/>
                  </pic:spPr>
                </pic:pic>
              </a:graphicData>
            </a:graphic>
            <wp14:sizeRelV relativeFrom="margin">
              <wp14:pctHeight>0</wp14:pctHeight>
            </wp14:sizeRelV>
          </wp:anchor>
        </w:drawing>
      </w:r>
    </w:p>
    <w:p w14:paraId="1286B951" w14:textId="77777777" w:rsidR="008F4788" w:rsidRDefault="0081278C">
      <w:pPr>
        <w:pStyle w:val="Heading1-Hidden"/>
      </w:pPr>
      <w:r>
        <w:t>CME Policy</w:t>
      </w:r>
    </w:p>
    <w:p w14:paraId="55801DF5" w14:textId="77777777" w:rsidR="008F4788" w:rsidRDefault="0081278C">
      <w:pPr>
        <w:pStyle w:val="Body"/>
        <w:jc w:val="righ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0A2F6C" w14:textId="77777777" w:rsidR="008F4788" w:rsidRDefault="0081278C">
      <w:pPr>
        <w:pStyle w:val="Heading2"/>
        <w:spacing w:before="0"/>
      </w:pPr>
      <w:r>
        <w:t>Cadaver Workshops</w:t>
      </w:r>
    </w:p>
    <w:p w14:paraId="34CA1FE5" w14:textId="77777777" w:rsidR="008F4788" w:rsidRDefault="008F4788">
      <w:pPr>
        <w:pStyle w:val="Body"/>
      </w:pPr>
    </w:p>
    <w:p w14:paraId="49366FFA" w14:textId="77777777" w:rsidR="008F4788" w:rsidRDefault="008F4788">
      <w:pPr>
        <w:pStyle w:val="Body"/>
      </w:pPr>
    </w:p>
    <w:tbl>
      <w:tblPr>
        <w:tblW w:w="102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7"/>
        <w:gridCol w:w="8030"/>
      </w:tblGrid>
      <w:tr w:rsidR="008F4788" w14:paraId="308BC708" w14:textId="77777777">
        <w:trPr>
          <w:trHeight w:val="310"/>
        </w:trPr>
        <w:tc>
          <w:tcPr>
            <w:tcW w:w="2247" w:type="dxa"/>
            <w:tcBorders>
              <w:top w:val="single" w:sz="8" w:space="0" w:color="000000"/>
              <w:left w:val="single" w:sz="8" w:space="0" w:color="000000"/>
              <w:bottom w:val="single" w:sz="8" w:space="0" w:color="000000"/>
              <w:right w:val="single" w:sz="8" w:space="0" w:color="000000"/>
            </w:tcBorders>
            <w:shd w:val="clear" w:color="auto" w:fill="B3B3B3"/>
            <w:tcMar>
              <w:top w:w="80" w:type="dxa"/>
              <w:left w:w="80" w:type="dxa"/>
              <w:bottom w:w="80" w:type="dxa"/>
              <w:right w:w="80" w:type="dxa"/>
            </w:tcMar>
          </w:tcPr>
          <w:p w14:paraId="4872B737" w14:textId="77777777" w:rsidR="008F4788" w:rsidRDefault="0081278C">
            <w:pPr>
              <w:pStyle w:val="Body"/>
            </w:pPr>
            <w:r>
              <w:rPr>
                <w:b/>
                <w:bCs/>
              </w:rPr>
              <w:t>Title</w:t>
            </w:r>
          </w:p>
        </w:tc>
        <w:tc>
          <w:tcPr>
            <w:tcW w:w="8030" w:type="dxa"/>
            <w:tcBorders>
              <w:top w:val="single" w:sz="8" w:space="0" w:color="000000"/>
              <w:left w:val="single" w:sz="8" w:space="0" w:color="000000"/>
              <w:bottom w:val="single" w:sz="8" w:space="0" w:color="000000"/>
              <w:right w:val="single" w:sz="8" w:space="0" w:color="000000"/>
            </w:tcBorders>
            <w:shd w:val="clear" w:color="auto" w:fill="B3B3B3"/>
            <w:tcMar>
              <w:top w:w="80" w:type="dxa"/>
              <w:left w:w="80" w:type="dxa"/>
              <w:bottom w:w="80" w:type="dxa"/>
              <w:right w:w="80" w:type="dxa"/>
            </w:tcMar>
          </w:tcPr>
          <w:p w14:paraId="73EB9A4F" w14:textId="77777777" w:rsidR="008F4788" w:rsidRDefault="0081278C">
            <w:pPr>
              <w:pStyle w:val="Body"/>
            </w:pPr>
            <w:r>
              <w:rPr>
                <w:b/>
                <w:bCs/>
              </w:rPr>
              <w:t>Cadaver Workshops</w:t>
            </w:r>
          </w:p>
        </w:tc>
      </w:tr>
      <w:tr w:rsidR="008F4788" w14:paraId="725A9EF9" w14:textId="77777777">
        <w:trPr>
          <w:trHeight w:val="310"/>
        </w:trPr>
        <w:tc>
          <w:tcPr>
            <w:tcW w:w="2247" w:type="dxa"/>
            <w:tcBorders>
              <w:top w:val="single" w:sz="8" w:space="0" w:color="000000"/>
              <w:left w:val="single" w:sz="8" w:space="0" w:color="000000"/>
              <w:bottom w:val="single" w:sz="8" w:space="0" w:color="000000"/>
              <w:right w:val="single" w:sz="8" w:space="0" w:color="000000"/>
            </w:tcBorders>
            <w:shd w:val="clear" w:color="auto" w:fill="B3B3B3"/>
            <w:tcMar>
              <w:top w:w="80" w:type="dxa"/>
              <w:left w:w="80" w:type="dxa"/>
              <w:bottom w:w="80" w:type="dxa"/>
              <w:right w:w="80" w:type="dxa"/>
            </w:tcMar>
          </w:tcPr>
          <w:p w14:paraId="7D5F3AF8" w14:textId="77777777" w:rsidR="008F4788" w:rsidRDefault="0081278C">
            <w:pPr>
              <w:pStyle w:val="Body"/>
            </w:pPr>
            <w:r>
              <w:rPr>
                <w:b/>
                <w:bCs/>
              </w:rPr>
              <w:t>Original Approval</w:t>
            </w:r>
          </w:p>
        </w:tc>
        <w:tc>
          <w:tcPr>
            <w:tcW w:w="8030" w:type="dxa"/>
            <w:tcBorders>
              <w:top w:val="single" w:sz="8" w:space="0" w:color="000000"/>
              <w:left w:val="single" w:sz="8" w:space="0" w:color="000000"/>
              <w:bottom w:val="single" w:sz="8" w:space="0" w:color="000000"/>
              <w:right w:val="single" w:sz="8" w:space="0" w:color="000000"/>
            </w:tcBorders>
            <w:shd w:val="clear" w:color="auto" w:fill="B3B3B3"/>
            <w:tcMar>
              <w:top w:w="80" w:type="dxa"/>
              <w:left w:w="80" w:type="dxa"/>
              <w:bottom w:w="80" w:type="dxa"/>
              <w:right w:w="80" w:type="dxa"/>
            </w:tcMar>
          </w:tcPr>
          <w:p w14:paraId="49663DB8" w14:textId="77777777" w:rsidR="008F4788" w:rsidRDefault="0081278C">
            <w:pPr>
              <w:pStyle w:val="Body"/>
            </w:pPr>
            <w:r>
              <w:rPr>
                <w:b/>
                <w:bCs/>
              </w:rPr>
              <w:t>01/2018</w:t>
            </w:r>
          </w:p>
        </w:tc>
      </w:tr>
      <w:tr w:rsidR="008F4788" w14:paraId="031C78E8" w14:textId="77777777" w:rsidTr="00362DE3">
        <w:trPr>
          <w:trHeight w:val="242"/>
        </w:trPr>
        <w:tc>
          <w:tcPr>
            <w:tcW w:w="2247" w:type="dxa"/>
            <w:tcBorders>
              <w:top w:val="single" w:sz="8" w:space="0" w:color="000000"/>
              <w:left w:val="single" w:sz="8" w:space="0" w:color="000000"/>
              <w:bottom w:val="single" w:sz="8" w:space="0" w:color="000000"/>
              <w:right w:val="single" w:sz="8" w:space="0" w:color="000000"/>
            </w:tcBorders>
            <w:shd w:val="clear" w:color="auto" w:fill="B3B3B3"/>
            <w:tcMar>
              <w:top w:w="80" w:type="dxa"/>
              <w:left w:w="80" w:type="dxa"/>
              <w:bottom w:w="80" w:type="dxa"/>
              <w:right w:w="80" w:type="dxa"/>
            </w:tcMar>
          </w:tcPr>
          <w:p w14:paraId="19919C36" w14:textId="77777777" w:rsidR="008F4788" w:rsidRDefault="0081278C">
            <w:pPr>
              <w:pStyle w:val="Body"/>
            </w:pPr>
            <w:r>
              <w:rPr>
                <w:b/>
                <w:bCs/>
              </w:rPr>
              <w:t>Revisions</w:t>
            </w:r>
          </w:p>
        </w:tc>
        <w:tc>
          <w:tcPr>
            <w:tcW w:w="8030" w:type="dxa"/>
            <w:tcBorders>
              <w:top w:val="single" w:sz="8" w:space="0" w:color="000000"/>
              <w:left w:val="single" w:sz="8" w:space="0" w:color="000000"/>
              <w:bottom w:val="single" w:sz="8" w:space="0" w:color="000000"/>
              <w:right w:val="single" w:sz="8" w:space="0" w:color="000000"/>
            </w:tcBorders>
            <w:shd w:val="clear" w:color="auto" w:fill="B3B3B3"/>
            <w:tcMar>
              <w:top w:w="80" w:type="dxa"/>
              <w:left w:w="80" w:type="dxa"/>
              <w:bottom w:w="80" w:type="dxa"/>
              <w:right w:w="80" w:type="dxa"/>
            </w:tcMar>
          </w:tcPr>
          <w:p w14:paraId="022290DF" w14:textId="3A20408F" w:rsidR="008F4788" w:rsidRPr="00362DE3" w:rsidRDefault="00362DE3" w:rsidP="00362DE3">
            <w:pPr>
              <w:pStyle w:val="Body"/>
              <w:rPr>
                <w:b/>
              </w:rPr>
            </w:pPr>
            <w:r w:rsidRPr="00362DE3">
              <w:rPr>
                <w:b/>
              </w:rPr>
              <w:t>02</w:t>
            </w:r>
            <w:r>
              <w:rPr>
                <w:b/>
              </w:rPr>
              <w:t>/2018</w:t>
            </w:r>
            <w:r w:rsidR="0012538A" w:rsidRPr="00323764">
              <w:rPr>
                <w:b/>
              </w:rPr>
              <w:t>, 07/2022</w:t>
            </w:r>
          </w:p>
        </w:tc>
      </w:tr>
    </w:tbl>
    <w:p w14:paraId="7657111B" w14:textId="77777777" w:rsidR="008F4788" w:rsidRDefault="008F4788">
      <w:pPr>
        <w:pStyle w:val="Body"/>
        <w:widowControl w:val="0"/>
      </w:pPr>
    </w:p>
    <w:p w14:paraId="05382BD3" w14:textId="77777777" w:rsidR="008F4788" w:rsidRDefault="008F4788">
      <w:pPr>
        <w:pStyle w:val="Body"/>
      </w:pPr>
    </w:p>
    <w:p w14:paraId="56F5E297" w14:textId="77777777" w:rsidR="008F4788" w:rsidRDefault="008F4788">
      <w:pPr>
        <w:pStyle w:val="Body"/>
      </w:pPr>
    </w:p>
    <w:tbl>
      <w:tblPr>
        <w:tblW w:w="1026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60"/>
      </w:tblGrid>
      <w:tr w:rsidR="008F4788" w14:paraId="2B36FDFF" w14:textId="77777777">
        <w:trPr>
          <w:trHeight w:val="241"/>
        </w:trPr>
        <w:tc>
          <w:tcPr>
            <w:tcW w:w="102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3202A9C0" w14:textId="77777777" w:rsidR="008F4788" w:rsidRDefault="0081278C">
            <w:pPr>
              <w:pStyle w:val="Body"/>
              <w:ind w:left="360"/>
            </w:pPr>
            <w:r>
              <w:rPr>
                <w:b/>
                <w:bCs/>
                <w:color w:val="002060"/>
                <w:sz w:val="22"/>
                <w:szCs w:val="22"/>
                <w:u w:color="002060"/>
              </w:rPr>
              <w:t>Purpose</w:t>
            </w:r>
          </w:p>
        </w:tc>
      </w:tr>
    </w:tbl>
    <w:p w14:paraId="77BAF1E8" w14:textId="77777777" w:rsidR="008F4788" w:rsidRDefault="008F4788">
      <w:pPr>
        <w:pStyle w:val="Body"/>
        <w:widowControl w:val="0"/>
        <w:ind w:left="18" w:hanging="18"/>
      </w:pPr>
    </w:p>
    <w:p w14:paraId="59DF3C0E" w14:textId="362F2E2F" w:rsidR="008F4788" w:rsidRDefault="0081278C">
      <w:pPr>
        <w:pStyle w:val="Body"/>
        <w:rPr>
          <w:sz w:val="20"/>
          <w:szCs w:val="20"/>
        </w:rPr>
      </w:pPr>
      <w:r>
        <w:rPr>
          <w:sz w:val="20"/>
          <w:szCs w:val="20"/>
        </w:rPr>
        <w:t xml:space="preserve">In support of its mission of “advancing the science and practice of regional anesthesiology and pain medicine to improve patient outcomes through research, education, and advocacy” ASRA </w:t>
      </w:r>
      <w:r w:rsidR="00F235A2">
        <w:rPr>
          <w:sz w:val="20"/>
          <w:szCs w:val="20"/>
        </w:rPr>
        <w:t xml:space="preserve">Pain Medicine </w:t>
      </w:r>
      <w:r>
        <w:rPr>
          <w:sz w:val="20"/>
          <w:szCs w:val="20"/>
        </w:rPr>
        <w:t xml:space="preserve">will organize hands-on cadaver workshops/courses whose sole purpose is to educate and train physicians. Cadaver workshops/courses provide a real life like experience where medical professionals can advance their understanding of human anatomy and physiology in addition to enhancing their practical skills, by exploring and working on human specimens. Any ASRA </w:t>
      </w:r>
      <w:r w:rsidR="00F235A2">
        <w:rPr>
          <w:sz w:val="20"/>
          <w:szCs w:val="20"/>
        </w:rPr>
        <w:t xml:space="preserve">Pain Medicine </w:t>
      </w:r>
      <w:r>
        <w:rPr>
          <w:sz w:val="20"/>
          <w:szCs w:val="20"/>
        </w:rPr>
        <w:t xml:space="preserve">activity that includes cadavers will be held in strict compliance with the policy herewith.  </w:t>
      </w:r>
    </w:p>
    <w:p w14:paraId="640FB8C7" w14:textId="77777777" w:rsidR="008F4788" w:rsidRDefault="008F4788">
      <w:pPr>
        <w:pStyle w:val="Body"/>
        <w:rPr>
          <w:sz w:val="20"/>
          <w:szCs w:val="20"/>
        </w:rPr>
      </w:pPr>
    </w:p>
    <w:p w14:paraId="4A30A660" w14:textId="77777777" w:rsidR="008F4788" w:rsidRDefault="008F4788">
      <w:pPr>
        <w:pStyle w:val="Body"/>
        <w:rPr>
          <w:sz w:val="20"/>
          <w:szCs w:val="20"/>
        </w:rPr>
      </w:pPr>
    </w:p>
    <w:tbl>
      <w:tblPr>
        <w:tblW w:w="100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70"/>
      </w:tblGrid>
      <w:tr w:rsidR="008F4788" w14:paraId="028A6D9B" w14:textId="77777777">
        <w:trPr>
          <w:trHeight w:val="241"/>
        </w:trPr>
        <w:tc>
          <w:tcPr>
            <w:tcW w:w="100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476B82EC" w14:textId="77777777" w:rsidR="008F4788" w:rsidRDefault="0081278C">
            <w:pPr>
              <w:pStyle w:val="Body"/>
              <w:ind w:left="360"/>
            </w:pPr>
            <w:r>
              <w:rPr>
                <w:b/>
                <w:bCs/>
                <w:color w:val="002060"/>
                <w:sz w:val="22"/>
                <w:szCs w:val="22"/>
                <w:u w:color="002060"/>
              </w:rPr>
              <w:t>Procedure</w:t>
            </w:r>
          </w:p>
        </w:tc>
      </w:tr>
    </w:tbl>
    <w:p w14:paraId="139B8CEE" w14:textId="77777777" w:rsidR="008F4788" w:rsidRDefault="008F4788">
      <w:pPr>
        <w:pStyle w:val="Body"/>
        <w:widowControl w:val="0"/>
        <w:rPr>
          <w:sz w:val="20"/>
          <w:szCs w:val="20"/>
        </w:rPr>
      </w:pPr>
    </w:p>
    <w:p w14:paraId="517A5417" w14:textId="77777777" w:rsidR="008F4788" w:rsidRDefault="008F4788">
      <w:pPr>
        <w:pStyle w:val="ListParagraph"/>
        <w:ind w:left="360"/>
        <w:rPr>
          <w:b/>
          <w:bCs/>
          <w:sz w:val="20"/>
          <w:szCs w:val="20"/>
        </w:rPr>
      </w:pPr>
    </w:p>
    <w:p w14:paraId="5CF8C7BA" w14:textId="77777777" w:rsidR="008F4788" w:rsidRDefault="0081278C">
      <w:pPr>
        <w:pStyle w:val="ListParagraph"/>
        <w:numPr>
          <w:ilvl w:val="0"/>
          <w:numId w:val="2"/>
        </w:numPr>
        <w:rPr>
          <w:b/>
          <w:bCs/>
          <w:sz w:val="20"/>
          <w:szCs w:val="20"/>
        </w:rPr>
      </w:pPr>
      <w:r>
        <w:rPr>
          <w:b/>
          <w:bCs/>
          <w:sz w:val="20"/>
          <w:szCs w:val="20"/>
        </w:rPr>
        <w:t>Approved Cadaver Workshops/Courses</w:t>
      </w:r>
    </w:p>
    <w:p w14:paraId="4F130E73" w14:textId="6BDD437C" w:rsidR="008F4788" w:rsidRPr="000149D2" w:rsidRDefault="0081278C">
      <w:pPr>
        <w:pStyle w:val="Body"/>
        <w:ind w:left="360"/>
        <w:rPr>
          <w:sz w:val="20"/>
          <w:szCs w:val="20"/>
        </w:rPr>
      </w:pPr>
      <w:r w:rsidRPr="000149D2">
        <w:rPr>
          <w:sz w:val="20"/>
          <w:szCs w:val="20"/>
        </w:rPr>
        <w:t xml:space="preserve">All ASRA </w:t>
      </w:r>
      <w:r w:rsidR="00F235A2">
        <w:rPr>
          <w:sz w:val="20"/>
          <w:szCs w:val="20"/>
        </w:rPr>
        <w:t xml:space="preserve">Pain Medicine </w:t>
      </w:r>
      <w:r w:rsidRPr="000149D2">
        <w:rPr>
          <w:sz w:val="20"/>
          <w:szCs w:val="20"/>
        </w:rPr>
        <w:t xml:space="preserve">cadaver workshops and courses must go through </w:t>
      </w:r>
      <w:r w:rsidR="000149D2">
        <w:rPr>
          <w:sz w:val="20"/>
          <w:szCs w:val="20"/>
        </w:rPr>
        <w:t xml:space="preserve">a </w:t>
      </w:r>
      <w:r w:rsidRPr="000149D2">
        <w:rPr>
          <w:sz w:val="20"/>
          <w:szCs w:val="20"/>
        </w:rPr>
        <w:t>formal and rigorous scientific/educational planning process and evaluation before approval.  Approved workshop content aims to improve the quality of professional skills for physicians.</w:t>
      </w:r>
    </w:p>
    <w:p w14:paraId="291E307D" w14:textId="77777777" w:rsidR="008F4788" w:rsidRDefault="008F4788">
      <w:pPr>
        <w:pStyle w:val="Body"/>
        <w:rPr>
          <w:b/>
          <w:bCs/>
          <w:sz w:val="20"/>
          <w:szCs w:val="20"/>
        </w:rPr>
      </w:pPr>
    </w:p>
    <w:p w14:paraId="0636F5AB" w14:textId="77777777" w:rsidR="008F4788" w:rsidRDefault="0081278C">
      <w:pPr>
        <w:pStyle w:val="ListParagraph"/>
        <w:numPr>
          <w:ilvl w:val="0"/>
          <w:numId w:val="2"/>
        </w:numPr>
        <w:rPr>
          <w:b/>
          <w:bCs/>
          <w:sz w:val="20"/>
          <w:szCs w:val="20"/>
        </w:rPr>
      </w:pPr>
      <w:r>
        <w:rPr>
          <w:b/>
          <w:bCs/>
          <w:sz w:val="20"/>
          <w:szCs w:val="20"/>
        </w:rPr>
        <w:t xml:space="preserve">Instructors </w:t>
      </w:r>
    </w:p>
    <w:p w14:paraId="057B54D3" w14:textId="14AC0AA8" w:rsidR="008F4788" w:rsidRDefault="0081278C">
      <w:pPr>
        <w:pStyle w:val="ListParagraph"/>
        <w:ind w:left="360"/>
        <w:rPr>
          <w:sz w:val="20"/>
          <w:szCs w:val="20"/>
        </w:rPr>
      </w:pPr>
      <w:r>
        <w:rPr>
          <w:sz w:val="20"/>
          <w:szCs w:val="20"/>
        </w:rPr>
        <w:t xml:space="preserve">All faculty teaching during an </w:t>
      </w:r>
      <w:r w:rsidR="00323764">
        <w:rPr>
          <w:sz w:val="20"/>
          <w:szCs w:val="20"/>
        </w:rPr>
        <w:t>ASRA Pain Medicine cadaver course</w:t>
      </w:r>
      <w:r>
        <w:rPr>
          <w:sz w:val="20"/>
          <w:szCs w:val="20"/>
        </w:rPr>
        <w:t xml:space="preserve"> will be licensed physicians experienced in teaching and maintaining the highest levels of professionalism.</w:t>
      </w:r>
    </w:p>
    <w:p w14:paraId="6771E2DD" w14:textId="77777777" w:rsidR="008F4788" w:rsidRDefault="008F4788">
      <w:pPr>
        <w:pStyle w:val="ListParagraph"/>
        <w:ind w:left="360"/>
        <w:rPr>
          <w:b/>
          <w:bCs/>
          <w:sz w:val="20"/>
          <w:szCs w:val="20"/>
        </w:rPr>
      </w:pPr>
    </w:p>
    <w:p w14:paraId="17192BAD" w14:textId="77777777" w:rsidR="008F4788" w:rsidRDefault="0081278C">
      <w:pPr>
        <w:pStyle w:val="ListParagraph"/>
        <w:numPr>
          <w:ilvl w:val="0"/>
          <w:numId w:val="2"/>
        </w:numPr>
        <w:rPr>
          <w:b/>
          <w:bCs/>
          <w:sz w:val="20"/>
          <w:szCs w:val="20"/>
        </w:rPr>
      </w:pPr>
      <w:r>
        <w:rPr>
          <w:b/>
          <w:bCs/>
          <w:sz w:val="20"/>
          <w:szCs w:val="20"/>
        </w:rPr>
        <w:t>Attendees/Participants</w:t>
      </w:r>
    </w:p>
    <w:p w14:paraId="3BAD5B33" w14:textId="0713E665" w:rsidR="008F4788" w:rsidRDefault="0081278C">
      <w:pPr>
        <w:pStyle w:val="ListParagraph"/>
        <w:ind w:left="360"/>
        <w:rPr>
          <w:sz w:val="20"/>
          <w:szCs w:val="20"/>
        </w:rPr>
      </w:pPr>
      <w:r>
        <w:rPr>
          <w:sz w:val="20"/>
          <w:szCs w:val="20"/>
        </w:rPr>
        <w:t xml:space="preserve">ASRA </w:t>
      </w:r>
      <w:r w:rsidR="00F235A2" w:rsidRPr="00F235A2">
        <w:rPr>
          <w:sz w:val="20"/>
          <w:szCs w:val="20"/>
        </w:rPr>
        <w:t xml:space="preserve">Pain Medicine </w:t>
      </w:r>
      <w:r>
        <w:rPr>
          <w:sz w:val="20"/>
          <w:szCs w:val="20"/>
        </w:rPr>
        <w:t xml:space="preserve">workshops are designed for physician learners only. Non-physician </w:t>
      </w:r>
      <w:r w:rsidR="000149D2">
        <w:rPr>
          <w:sz w:val="20"/>
          <w:szCs w:val="20"/>
        </w:rPr>
        <w:t>attendees</w:t>
      </w:r>
      <w:r>
        <w:rPr>
          <w:sz w:val="20"/>
          <w:szCs w:val="20"/>
        </w:rPr>
        <w:t xml:space="preserve"> are not allowed to participate in the cadaver workshop/course.  </w:t>
      </w:r>
      <w:r w:rsidR="00E43C47">
        <w:rPr>
          <w:sz w:val="20"/>
          <w:szCs w:val="20"/>
        </w:rPr>
        <w:t xml:space="preserve">All participants will sign a code of conduct to ensure respectful treatment of the cadavers. </w:t>
      </w:r>
      <w:r>
        <w:rPr>
          <w:sz w:val="20"/>
          <w:szCs w:val="20"/>
        </w:rPr>
        <w:t xml:space="preserve">Non-physicians allowed in the room will be limited to: ASRA </w:t>
      </w:r>
      <w:r w:rsidR="00F235A2" w:rsidRPr="00F235A2">
        <w:rPr>
          <w:sz w:val="20"/>
          <w:szCs w:val="20"/>
        </w:rPr>
        <w:t xml:space="preserve">Pain Medicine </w:t>
      </w:r>
      <w:r>
        <w:rPr>
          <w:sz w:val="20"/>
          <w:szCs w:val="20"/>
        </w:rPr>
        <w:t>or venue staff for limited logistical purposes, licensed professionals to manage the cadavers, and industry technicians to support any medical devices in use. Any other non</w:t>
      </w:r>
      <w:r w:rsidR="000149D2">
        <w:rPr>
          <w:sz w:val="20"/>
          <w:szCs w:val="20"/>
        </w:rPr>
        <w:t>-</w:t>
      </w:r>
      <w:r>
        <w:rPr>
          <w:sz w:val="20"/>
          <w:szCs w:val="20"/>
        </w:rPr>
        <w:t xml:space="preserve">physicians requiring access to cadaver courses must be approved by ASRA </w:t>
      </w:r>
      <w:r w:rsidR="00F235A2" w:rsidRPr="00F235A2">
        <w:rPr>
          <w:sz w:val="20"/>
          <w:szCs w:val="20"/>
        </w:rPr>
        <w:t xml:space="preserve">Pain Medicine </w:t>
      </w:r>
      <w:r>
        <w:rPr>
          <w:sz w:val="20"/>
          <w:szCs w:val="20"/>
        </w:rPr>
        <w:t xml:space="preserve">management. Anyone entering the room must follow the strict onsite procedures detailed under point F below. </w:t>
      </w:r>
    </w:p>
    <w:p w14:paraId="049074B8" w14:textId="77777777" w:rsidR="008F4788" w:rsidRDefault="008F4788">
      <w:pPr>
        <w:pStyle w:val="ListParagraph"/>
        <w:ind w:left="360"/>
        <w:rPr>
          <w:sz w:val="20"/>
          <w:szCs w:val="20"/>
        </w:rPr>
      </w:pPr>
    </w:p>
    <w:p w14:paraId="34DA6B5F" w14:textId="77777777" w:rsidR="008F4788" w:rsidRDefault="0081278C">
      <w:pPr>
        <w:pStyle w:val="ListParagraph"/>
        <w:numPr>
          <w:ilvl w:val="0"/>
          <w:numId w:val="2"/>
        </w:numPr>
        <w:rPr>
          <w:b/>
          <w:bCs/>
          <w:sz w:val="20"/>
          <w:szCs w:val="20"/>
        </w:rPr>
      </w:pPr>
      <w:r>
        <w:rPr>
          <w:b/>
          <w:bCs/>
          <w:sz w:val="20"/>
          <w:szCs w:val="20"/>
        </w:rPr>
        <w:t>Cadaver Procurement and Management</w:t>
      </w:r>
    </w:p>
    <w:p w14:paraId="3A55DBA7" w14:textId="1559D51D" w:rsidR="008F4788" w:rsidRDefault="0081278C">
      <w:pPr>
        <w:pStyle w:val="ListParagraph"/>
        <w:ind w:left="360"/>
        <w:rPr>
          <w:sz w:val="20"/>
          <w:szCs w:val="20"/>
        </w:rPr>
      </w:pPr>
      <w:r>
        <w:rPr>
          <w:sz w:val="20"/>
          <w:szCs w:val="20"/>
        </w:rPr>
        <w:t xml:space="preserve">Human specimens used for ASRA </w:t>
      </w:r>
      <w:r w:rsidR="00F235A2" w:rsidRPr="00F235A2">
        <w:rPr>
          <w:sz w:val="20"/>
          <w:szCs w:val="20"/>
        </w:rPr>
        <w:t xml:space="preserve">Pain Medicine </w:t>
      </w:r>
      <w:r>
        <w:rPr>
          <w:sz w:val="20"/>
          <w:szCs w:val="20"/>
        </w:rPr>
        <w:t xml:space="preserve">workshops/courses are properly and legally procured and managed by fully accredited and licensed organizations following all standards set by the American Association of Tissue Banks (AATB) and any applicable state/local regulations. The cadavers are managed entirely by these professional organizations. A letter of agreement outlining applicable standards will be signed between ASRA </w:t>
      </w:r>
      <w:r w:rsidR="00F235A2" w:rsidRPr="00F235A2">
        <w:rPr>
          <w:sz w:val="20"/>
          <w:szCs w:val="20"/>
        </w:rPr>
        <w:t xml:space="preserve">Pain Medicine </w:t>
      </w:r>
      <w:r>
        <w:rPr>
          <w:sz w:val="20"/>
          <w:szCs w:val="20"/>
        </w:rPr>
        <w:t xml:space="preserve">and the organization.   </w:t>
      </w:r>
    </w:p>
    <w:p w14:paraId="0AD85BBB" w14:textId="77777777" w:rsidR="008F4788" w:rsidRDefault="008F4788">
      <w:pPr>
        <w:pStyle w:val="ListParagraph"/>
        <w:ind w:left="360"/>
        <w:rPr>
          <w:sz w:val="20"/>
          <w:szCs w:val="20"/>
        </w:rPr>
      </w:pPr>
    </w:p>
    <w:p w14:paraId="2943C20B" w14:textId="77777777" w:rsidR="008F4788" w:rsidRDefault="0081278C">
      <w:pPr>
        <w:pStyle w:val="ListParagraph"/>
        <w:numPr>
          <w:ilvl w:val="0"/>
          <w:numId w:val="2"/>
        </w:numPr>
        <w:rPr>
          <w:b/>
          <w:bCs/>
          <w:sz w:val="20"/>
          <w:szCs w:val="20"/>
        </w:rPr>
      </w:pPr>
      <w:r>
        <w:rPr>
          <w:b/>
          <w:bCs/>
          <w:sz w:val="20"/>
          <w:szCs w:val="20"/>
        </w:rPr>
        <w:t>Locations/Venues</w:t>
      </w:r>
    </w:p>
    <w:p w14:paraId="2777E0D0" w14:textId="3B3463BC" w:rsidR="008F4788" w:rsidRDefault="0081278C">
      <w:pPr>
        <w:pStyle w:val="Body"/>
        <w:ind w:left="360"/>
        <w:rPr>
          <w:sz w:val="20"/>
          <w:szCs w:val="20"/>
        </w:rPr>
      </w:pPr>
      <w:r>
        <w:rPr>
          <w:sz w:val="20"/>
          <w:szCs w:val="20"/>
        </w:rPr>
        <w:lastRenderedPageBreak/>
        <w:t xml:space="preserve">ASRA </w:t>
      </w:r>
      <w:r w:rsidR="00F235A2" w:rsidRPr="00F235A2">
        <w:rPr>
          <w:sz w:val="20"/>
          <w:szCs w:val="20"/>
        </w:rPr>
        <w:t xml:space="preserve">Pain Medicine </w:t>
      </w:r>
      <w:r>
        <w:rPr>
          <w:sz w:val="20"/>
          <w:szCs w:val="20"/>
        </w:rPr>
        <w:t xml:space="preserve">cadaver workshops and courses are held in one of two venues: </w:t>
      </w:r>
    </w:p>
    <w:p w14:paraId="3CF8439C" w14:textId="77777777" w:rsidR="008F4788" w:rsidRDefault="008F4788">
      <w:pPr>
        <w:pStyle w:val="Body"/>
        <w:ind w:left="360"/>
        <w:rPr>
          <w:sz w:val="20"/>
          <w:szCs w:val="20"/>
        </w:rPr>
      </w:pPr>
    </w:p>
    <w:p w14:paraId="1B468C6B" w14:textId="77777777" w:rsidR="008F4788" w:rsidRDefault="0081278C">
      <w:pPr>
        <w:pStyle w:val="ListParagraph"/>
        <w:numPr>
          <w:ilvl w:val="0"/>
          <w:numId w:val="4"/>
        </w:numPr>
        <w:rPr>
          <w:sz w:val="20"/>
          <w:szCs w:val="20"/>
        </w:rPr>
      </w:pPr>
      <w:r>
        <w:rPr>
          <w:sz w:val="20"/>
          <w:szCs w:val="20"/>
        </w:rPr>
        <w:t xml:space="preserve">Professional Cadaver Lab </w:t>
      </w:r>
    </w:p>
    <w:p w14:paraId="7C85A90D" w14:textId="77777777" w:rsidR="008F4788" w:rsidRDefault="0081278C">
      <w:pPr>
        <w:pStyle w:val="ListParagraph"/>
        <w:numPr>
          <w:ilvl w:val="0"/>
          <w:numId w:val="4"/>
        </w:numPr>
        <w:rPr>
          <w:sz w:val="20"/>
          <w:szCs w:val="20"/>
        </w:rPr>
      </w:pPr>
      <w:r>
        <w:rPr>
          <w:sz w:val="20"/>
          <w:szCs w:val="20"/>
        </w:rPr>
        <w:t>Hotel and/or Resort Ballroom</w:t>
      </w:r>
    </w:p>
    <w:p w14:paraId="2EB3632A" w14:textId="77777777" w:rsidR="008F4788" w:rsidRDefault="008F4788">
      <w:pPr>
        <w:pStyle w:val="ListParagraph"/>
        <w:ind w:left="0"/>
        <w:rPr>
          <w:sz w:val="20"/>
          <w:szCs w:val="20"/>
        </w:rPr>
      </w:pPr>
    </w:p>
    <w:p w14:paraId="32F01D72" w14:textId="77777777" w:rsidR="008F4788" w:rsidRDefault="0081278C">
      <w:pPr>
        <w:pStyle w:val="ListParagraph"/>
        <w:numPr>
          <w:ilvl w:val="0"/>
          <w:numId w:val="5"/>
        </w:numPr>
        <w:rPr>
          <w:b/>
          <w:bCs/>
          <w:sz w:val="20"/>
          <w:szCs w:val="20"/>
        </w:rPr>
      </w:pPr>
      <w:r>
        <w:rPr>
          <w:b/>
          <w:bCs/>
          <w:sz w:val="20"/>
          <w:szCs w:val="20"/>
        </w:rPr>
        <w:t>Onsite Procedures</w:t>
      </w:r>
    </w:p>
    <w:p w14:paraId="40A67A6D" w14:textId="23492F12" w:rsidR="008F4788" w:rsidRDefault="0081278C">
      <w:pPr>
        <w:pStyle w:val="ListParagraph"/>
        <w:ind w:left="360"/>
        <w:rPr>
          <w:sz w:val="20"/>
          <w:szCs w:val="20"/>
        </w:rPr>
      </w:pPr>
      <w:r>
        <w:rPr>
          <w:sz w:val="20"/>
          <w:szCs w:val="20"/>
        </w:rPr>
        <w:t xml:space="preserve">Procedures may vary based on the location/venue of the workshop/course. However, regardless of the location, the highest compliance with all AATB standards and ASRA </w:t>
      </w:r>
      <w:r w:rsidR="00F235A2" w:rsidRPr="00F235A2">
        <w:rPr>
          <w:sz w:val="20"/>
          <w:szCs w:val="20"/>
        </w:rPr>
        <w:t xml:space="preserve">Pain Medicine </w:t>
      </w:r>
      <w:r>
        <w:rPr>
          <w:sz w:val="20"/>
          <w:szCs w:val="20"/>
        </w:rPr>
        <w:t xml:space="preserve">procedures outlined herewith will be maintained. </w:t>
      </w:r>
    </w:p>
    <w:p w14:paraId="4DB38389" w14:textId="77777777" w:rsidR="008F4788" w:rsidRDefault="0081278C">
      <w:pPr>
        <w:pStyle w:val="ListParagraph"/>
        <w:ind w:left="360"/>
        <w:rPr>
          <w:sz w:val="20"/>
          <w:szCs w:val="20"/>
        </w:rPr>
      </w:pPr>
      <w:r>
        <w:rPr>
          <w:sz w:val="20"/>
          <w:szCs w:val="20"/>
        </w:rPr>
        <w:t xml:space="preserve"> </w:t>
      </w:r>
    </w:p>
    <w:p w14:paraId="7AC9F3BC" w14:textId="77777777" w:rsidR="008F4788" w:rsidRDefault="0081278C">
      <w:pPr>
        <w:pStyle w:val="ListParagraph"/>
        <w:numPr>
          <w:ilvl w:val="0"/>
          <w:numId w:val="7"/>
        </w:numPr>
        <w:rPr>
          <w:sz w:val="20"/>
          <w:szCs w:val="20"/>
        </w:rPr>
      </w:pPr>
      <w:r>
        <w:rPr>
          <w:sz w:val="20"/>
          <w:szCs w:val="20"/>
        </w:rPr>
        <w:t>Professional Cadaver Lab</w:t>
      </w:r>
    </w:p>
    <w:p w14:paraId="309872C0" w14:textId="3A7DB734" w:rsidR="008F4788" w:rsidRDefault="0081278C">
      <w:pPr>
        <w:pStyle w:val="ListParagraph"/>
        <w:rPr>
          <w:sz w:val="20"/>
          <w:szCs w:val="20"/>
        </w:rPr>
      </w:pPr>
      <w:r>
        <w:rPr>
          <w:rFonts w:eastAsia="Arial Unicode MS" w:cs="Arial Unicode MS"/>
          <w:sz w:val="20"/>
          <w:szCs w:val="20"/>
        </w:rPr>
        <w:t xml:space="preserve">When located at an accredited Professional Cadaver Lab, all ASRA </w:t>
      </w:r>
      <w:r w:rsidR="00F235A2" w:rsidRPr="00F235A2">
        <w:rPr>
          <w:rFonts w:eastAsia="Arial Unicode MS" w:cs="Arial Unicode MS"/>
          <w:sz w:val="20"/>
          <w:szCs w:val="20"/>
        </w:rPr>
        <w:t xml:space="preserve">Pain Medicine </w:t>
      </w:r>
      <w:r>
        <w:rPr>
          <w:rFonts w:eastAsia="Arial Unicode MS" w:cs="Arial Unicode MS"/>
          <w:sz w:val="20"/>
          <w:szCs w:val="20"/>
        </w:rPr>
        <w:t>staff, faculty, and attendees must adhere to the facility’s strict policies and procedures. The accr</w:t>
      </w:r>
      <w:r w:rsidRPr="00323764">
        <w:rPr>
          <w:rFonts w:eastAsia="Arial Unicode MS" w:cs="Arial Unicode MS"/>
          <w:sz w:val="20"/>
          <w:szCs w:val="20"/>
        </w:rPr>
        <w:t xml:space="preserve">edited/licensed Cadaver Lab staff will be responsible for ensuring compliance with all cadaver management requirements. (Example: </w:t>
      </w:r>
      <w:hyperlink r:id="rId8" w:history="1">
        <w:r w:rsidR="00D33373" w:rsidRPr="00323764">
          <w:rPr>
            <w:rStyle w:val="Hyperlink0"/>
            <w:rFonts w:eastAsia="Arial Unicode MS" w:cs="Arial Unicode MS"/>
          </w:rPr>
          <w:t>Northwestern Simulation</w:t>
        </w:r>
      </w:hyperlink>
      <w:r w:rsidRPr="00323764">
        <w:rPr>
          <w:rFonts w:eastAsia="Arial Unicode MS" w:cs="Arial Unicode MS"/>
          <w:sz w:val="20"/>
          <w:szCs w:val="20"/>
        </w:rPr>
        <w:t>, at Northwestern Feinberg School of Medicine, Chicago)</w:t>
      </w:r>
    </w:p>
    <w:p w14:paraId="6377088A" w14:textId="77777777" w:rsidR="008F4788" w:rsidRDefault="008F4788">
      <w:pPr>
        <w:pStyle w:val="ListParagraph"/>
        <w:rPr>
          <w:sz w:val="20"/>
          <w:szCs w:val="20"/>
        </w:rPr>
      </w:pPr>
    </w:p>
    <w:p w14:paraId="688F7956" w14:textId="77777777" w:rsidR="008F4788" w:rsidRDefault="0081278C">
      <w:pPr>
        <w:pStyle w:val="ListParagraph"/>
        <w:numPr>
          <w:ilvl w:val="0"/>
          <w:numId w:val="7"/>
        </w:numPr>
        <w:rPr>
          <w:sz w:val="20"/>
          <w:szCs w:val="20"/>
        </w:rPr>
      </w:pPr>
      <w:r>
        <w:rPr>
          <w:sz w:val="20"/>
          <w:szCs w:val="20"/>
        </w:rPr>
        <w:t>Hotel and/or Resort Ballroom</w:t>
      </w:r>
    </w:p>
    <w:p w14:paraId="632EC4F6" w14:textId="71135219" w:rsidR="008F4788" w:rsidRDefault="0081278C">
      <w:pPr>
        <w:pStyle w:val="ListParagraph"/>
        <w:rPr>
          <w:sz w:val="20"/>
          <w:szCs w:val="20"/>
        </w:rPr>
      </w:pPr>
      <w:r>
        <w:rPr>
          <w:rFonts w:eastAsia="Arial Unicode MS" w:cs="Arial Unicode MS"/>
        </w:rPr>
        <w:t>C</w:t>
      </w:r>
      <w:r>
        <w:rPr>
          <w:rFonts w:eastAsia="Arial Unicode MS" w:cs="Arial Unicode MS"/>
          <w:sz w:val="20"/>
          <w:szCs w:val="20"/>
        </w:rPr>
        <w:t>adaver workshops are often conducted during ASRA</w:t>
      </w:r>
      <w:r w:rsidR="00F235A2" w:rsidRPr="00F235A2">
        <w:t xml:space="preserve"> </w:t>
      </w:r>
      <w:r w:rsidR="00F235A2" w:rsidRPr="00F235A2">
        <w:rPr>
          <w:rFonts w:eastAsia="Arial Unicode MS" w:cs="Arial Unicode MS"/>
          <w:sz w:val="20"/>
          <w:szCs w:val="20"/>
        </w:rPr>
        <w:t xml:space="preserve">Pain Medicine </w:t>
      </w:r>
      <w:r w:rsidR="00F235A2">
        <w:rPr>
          <w:rFonts w:eastAsia="Arial Unicode MS" w:cs="Arial Unicode MS"/>
          <w:sz w:val="20"/>
          <w:szCs w:val="20"/>
        </w:rPr>
        <w:t>a</w:t>
      </w:r>
      <w:r>
        <w:rPr>
          <w:rFonts w:eastAsia="Arial Unicode MS" w:cs="Arial Unicode MS"/>
          <w:sz w:val="20"/>
          <w:szCs w:val="20"/>
        </w:rPr>
        <w:t>nnual meetings that are held in reputable hotel/resort venues across the country. In such cases, the following strict procedures will be implemented.</w:t>
      </w:r>
    </w:p>
    <w:p w14:paraId="144700B7" w14:textId="77777777" w:rsidR="008F4788" w:rsidRDefault="0081278C">
      <w:pPr>
        <w:pStyle w:val="ListParagraph"/>
        <w:numPr>
          <w:ilvl w:val="1"/>
          <w:numId w:val="7"/>
        </w:numPr>
        <w:rPr>
          <w:sz w:val="20"/>
          <w:szCs w:val="20"/>
        </w:rPr>
      </w:pPr>
      <w:r>
        <w:rPr>
          <w:sz w:val="20"/>
          <w:szCs w:val="20"/>
        </w:rPr>
        <w:t>All hotel contracts will include written approval/acknowledgement that cadaver workshops will be held during the event.</w:t>
      </w:r>
    </w:p>
    <w:p w14:paraId="02F31CD0" w14:textId="18361B95" w:rsidR="008F4788" w:rsidRDefault="0081278C">
      <w:pPr>
        <w:pStyle w:val="ListParagraph"/>
        <w:numPr>
          <w:ilvl w:val="1"/>
          <w:numId w:val="7"/>
        </w:numPr>
        <w:rPr>
          <w:sz w:val="20"/>
          <w:szCs w:val="20"/>
        </w:rPr>
      </w:pPr>
      <w:r>
        <w:rPr>
          <w:sz w:val="20"/>
          <w:szCs w:val="20"/>
        </w:rPr>
        <w:t xml:space="preserve">ASRA </w:t>
      </w:r>
      <w:r w:rsidR="00F235A2" w:rsidRPr="00F235A2">
        <w:rPr>
          <w:sz w:val="20"/>
          <w:szCs w:val="20"/>
        </w:rPr>
        <w:t xml:space="preserve">Pain Medicine </w:t>
      </w:r>
      <w:r>
        <w:rPr>
          <w:sz w:val="20"/>
          <w:szCs w:val="20"/>
        </w:rPr>
        <w:t xml:space="preserve">will engage an accredited/licensed organization to procure the human specimens, but also manage them onsite at all times; before, during, and after the workshop. (For example: </w:t>
      </w:r>
      <w:r w:rsidRPr="00362DE3">
        <w:rPr>
          <w:sz w:val="20"/>
          <w:szCs w:val="20"/>
        </w:rPr>
        <w:t>Medical Education and Research Institute,</w:t>
      </w:r>
      <w:r>
        <w:rPr>
          <w:sz w:val="20"/>
          <w:szCs w:val="20"/>
        </w:rPr>
        <w:t xml:space="preserve"> </w:t>
      </w:r>
      <w:hyperlink r:id="rId9" w:history="1">
        <w:r>
          <w:rPr>
            <w:rStyle w:val="Link"/>
            <w:sz w:val="20"/>
            <w:szCs w:val="20"/>
          </w:rPr>
          <w:t>www.meri.org</w:t>
        </w:r>
      </w:hyperlink>
      <w:r>
        <w:rPr>
          <w:sz w:val="20"/>
          <w:szCs w:val="20"/>
        </w:rPr>
        <w:t>)</w:t>
      </w:r>
    </w:p>
    <w:p w14:paraId="43A5111C" w14:textId="77777777" w:rsidR="00E43C47" w:rsidRDefault="00E43C47">
      <w:pPr>
        <w:pStyle w:val="ListParagraph"/>
        <w:numPr>
          <w:ilvl w:val="1"/>
          <w:numId w:val="7"/>
        </w:numPr>
        <w:rPr>
          <w:sz w:val="20"/>
          <w:szCs w:val="20"/>
        </w:rPr>
      </w:pPr>
      <w:r>
        <w:rPr>
          <w:sz w:val="20"/>
          <w:szCs w:val="20"/>
        </w:rPr>
        <w:t>From the door, no cadaver will be visible. Screens or related visual block devices will be used to ensure this.</w:t>
      </w:r>
    </w:p>
    <w:p w14:paraId="2E8E25D5" w14:textId="77777777" w:rsidR="008F4788" w:rsidRDefault="0081278C">
      <w:pPr>
        <w:pStyle w:val="ListParagraph"/>
        <w:numPr>
          <w:ilvl w:val="1"/>
          <w:numId w:val="7"/>
        </w:numPr>
        <w:rPr>
          <w:sz w:val="20"/>
          <w:szCs w:val="20"/>
        </w:rPr>
      </w:pPr>
      <w:r>
        <w:rPr>
          <w:sz w:val="20"/>
          <w:szCs w:val="20"/>
        </w:rPr>
        <w:t>Only approved participants with course/workshop tickets will be allowed into the workshop room. There will be one entrance to the room, which will be monitored by a dedicated staff member. Any other doors will be locked to entrance.</w:t>
      </w:r>
    </w:p>
    <w:p w14:paraId="1E4E31E0" w14:textId="77777777" w:rsidR="008F4788" w:rsidRDefault="0081278C">
      <w:pPr>
        <w:pStyle w:val="ListParagraph"/>
        <w:numPr>
          <w:ilvl w:val="1"/>
          <w:numId w:val="7"/>
        </w:numPr>
        <w:rPr>
          <w:sz w:val="20"/>
          <w:szCs w:val="20"/>
        </w:rPr>
      </w:pPr>
      <w:r>
        <w:rPr>
          <w:sz w:val="20"/>
          <w:szCs w:val="20"/>
        </w:rPr>
        <w:t>Any participant working directly on the cadaver (participant or instructor) must be wearing appropriate personal protective equipment (PPE) designed to protect the wearer from potential injury or the spread of infection or illness. All such PPE must be removed and properly discarded before exiting the workshop room.</w:t>
      </w:r>
    </w:p>
    <w:p w14:paraId="38DC1B84" w14:textId="77777777" w:rsidR="008F4788" w:rsidRDefault="0081278C">
      <w:pPr>
        <w:pStyle w:val="ListParagraph"/>
        <w:numPr>
          <w:ilvl w:val="1"/>
          <w:numId w:val="7"/>
        </w:numPr>
        <w:rPr>
          <w:sz w:val="20"/>
          <w:szCs w:val="20"/>
        </w:rPr>
      </w:pPr>
      <w:r>
        <w:rPr>
          <w:sz w:val="20"/>
          <w:szCs w:val="20"/>
        </w:rPr>
        <w:t xml:space="preserve">Hand sanitizer and a portable sink will be accessible in each workshop room. </w:t>
      </w:r>
    </w:p>
    <w:p w14:paraId="6F18792E" w14:textId="77777777" w:rsidR="008F4788" w:rsidRDefault="0081278C">
      <w:pPr>
        <w:pStyle w:val="ListParagraph"/>
        <w:numPr>
          <w:ilvl w:val="1"/>
          <w:numId w:val="7"/>
        </w:numPr>
        <w:rPr>
          <w:sz w:val="20"/>
          <w:szCs w:val="20"/>
        </w:rPr>
      </w:pPr>
      <w:r>
        <w:rPr>
          <w:sz w:val="20"/>
          <w:szCs w:val="20"/>
        </w:rPr>
        <w:t>No food and beverage of any kind will be served in the workshop room.</w:t>
      </w:r>
    </w:p>
    <w:p w14:paraId="18EDDEF0" w14:textId="77777777" w:rsidR="008F4788" w:rsidRDefault="0081278C">
      <w:pPr>
        <w:pStyle w:val="ListParagraph"/>
        <w:numPr>
          <w:ilvl w:val="1"/>
          <w:numId w:val="7"/>
        </w:numPr>
        <w:rPr>
          <w:sz w:val="20"/>
          <w:szCs w:val="20"/>
        </w:rPr>
      </w:pPr>
      <w:r>
        <w:rPr>
          <w:sz w:val="20"/>
          <w:szCs w:val="20"/>
        </w:rPr>
        <w:t>The entire ballroom floor will be covered with thick plastic, not just the area under the cadavers.</w:t>
      </w:r>
    </w:p>
    <w:p w14:paraId="788E4F29" w14:textId="77777777" w:rsidR="008F4788" w:rsidRDefault="0081278C">
      <w:pPr>
        <w:pStyle w:val="ListParagraph"/>
        <w:numPr>
          <w:ilvl w:val="1"/>
          <w:numId w:val="7"/>
        </w:numPr>
        <w:rPr>
          <w:sz w:val="20"/>
          <w:szCs w:val="20"/>
        </w:rPr>
      </w:pPr>
      <w:r>
        <w:rPr>
          <w:sz w:val="20"/>
          <w:szCs w:val="20"/>
        </w:rPr>
        <w:t>Attendees will be instructed that any concerns, questions, or complaints can be addressed to the workshop faculty lead, the registration desk, or asrameetings@asra.com.</w:t>
      </w:r>
    </w:p>
    <w:p w14:paraId="067FDE05" w14:textId="716C9C1C" w:rsidR="008F4788" w:rsidRPr="00323764" w:rsidRDefault="0081278C">
      <w:pPr>
        <w:pStyle w:val="ListParagraph"/>
        <w:numPr>
          <w:ilvl w:val="1"/>
          <w:numId w:val="7"/>
        </w:numPr>
        <w:rPr>
          <w:sz w:val="20"/>
          <w:szCs w:val="20"/>
        </w:rPr>
      </w:pPr>
      <w:r w:rsidRPr="00323764">
        <w:rPr>
          <w:sz w:val="20"/>
          <w:szCs w:val="20"/>
        </w:rPr>
        <w:t>Signage in the workshop area will outline these safety procedures for all participants.</w:t>
      </w:r>
    </w:p>
    <w:p w14:paraId="6EADD215" w14:textId="7FD9104D" w:rsidR="00EC3F5D" w:rsidRPr="00323764" w:rsidRDefault="00EC3F5D">
      <w:pPr>
        <w:pStyle w:val="ListParagraph"/>
        <w:numPr>
          <w:ilvl w:val="1"/>
          <w:numId w:val="7"/>
        </w:numPr>
        <w:rPr>
          <w:sz w:val="20"/>
          <w:szCs w:val="20"/>
        </w:rPr>
      </w:pPr>
      <w:r w:rsidRPr="00323764">
        <w:rPr>
          <w:sz w:val="20"/>
          <w:szCs w:val="20"/>
        </w:rPr>
        <w:t>No cameras or photographs are permitted.</w:t>
      </w:r>
    </w:p>
    <w:p w14:paraId="72751EAF" w14:textId="77777777" w:rsidR="008F4788" w:rsidRDefault="008F4788">
      <w:pPr>
        <w:pStyle w:val="ListParagraph"/>
        <w:ind w:left="1800"/>
      </w:pPr>
    </w:p>
    <w:sectPr w:rsidR="008F4788">
      <w:headerReference w:type="default" r:id="rId10"/>
      <w:footerReference w:type="default" r:id="rId11"/>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1E169" w14:textId="77777777" w:rsidR="003351F2" w:rsidRDefault="003351F2">
      <w:r>
        <w:separator/>
      </w:r>
    </w:p>
  </w:endnote>
  <w:endnote w:type="continuationSeparator" w:id="0">
    <w:p w14:paraId="31FE1BCD" w14:textId="77777777" w:rsidR="003351F2" w:rsidRDefault="0033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EDCB" w14:textId="77777777" w:rsidR="008F4788" w:rsidRDefault="008F47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C0C9" w14:textId="77777777" w:rsidR="003351F2" w:rsidRDefault="003351F2">
      <w:r>
        <w:separator/>
      </w:r>
    </w:p>
  </w:footnote>
  <w:footnote w:type="continuationSeparator" w:id="0">
    <w:p w14:paraId="78A0D755" w14:textId="77777777" w:rsidR="003351F2" w:rsidRDefault="00335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AB9E" w14:textId="76A0031B" w:rsidR="008F4788" w:rsidRDefault="0081278C">
    <w:pPr>
      <w:pStyle w:val="Header"/>
      <w:jc w:val="right"/>
    </w:pPr>
    <w:r>
      <w:fldChar w:fldCharType="begin"/>
    </w:r>
    <w:r>
      <w:instrText xml:space="preserve"> PAGE </w:instrText>
    </w:r>
    <w:r>
      <w:fldChar w:fldCharType="separate"/>
    </w:r>
    <w:r w:rsidR="00362DE3">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C4B29"/>
    <w:multiLevelType w:val="hybridMultilevel"/>
    <w:tmpl w:val="91444A8A"/>
    <w:numStyleLink w:val="ImportedStyle1"/>
  </w:abstractNum>
  <w:abstractNum w:abstractNumId="1" w15:restartNumberingAfterBreak="0">
    <w:nsid w:val="292D4B5C"/>
    <w:multiLevelType w:val="hybridMultilevel"/>
    <w:tmpl w:val="91444A8A"/>
    <w:styleLink w:val="ImportedStyle1"/>
    <w:lvl w:ilvl="0" w:tplc="FEDA9200">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D5EA2C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6E2AD4E">
      <w:start w:val="1"/>
      <w:numFmt w:val="lowerRoman"/>
      <w:lvlText w:val="%3."/>
      <w:lvlJc w:val="left"/>
      <w:pPr>
        <w:ind w:left="180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27CAE48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2C8777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CC8902A">
      <w:start w:val="1"/>
      <w:numFmt w:val="lowerRoman"/>
      <w:lvlText w:val="%6."/>
      <w:lvlJc w:val="left"/>
      <w:pPr>
        <w:ind w:left="396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30A8F0E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0BE5B4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688104A">
      <w:start w:val="1"/>
      <w:numFmt w:val="lowerRoman"/>
      <w:lvlText w:val="%9."/>
      <w:lvlJc w:val="left"/>
      <w:pPr>
        <w:ind w:left="6120"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C11458B"/>
    <w:multiLevelType w:val="hybridMultilevel"/>
    <w:tmpl w:val="4BBE4282"/>
    <w:numStyleLink w:val="ImportedStyle3"/>
  </w:abstractNum>
  <w:abstractNum w:abstractNumId="3" w15:restartNumberingAfterBreak="0">
    <w:nsid w:val="32EC3E05"/>
    <w:multiLevelType w:val="hybridMultilevel"/>
    <w:tmpl w:val="5D10A4B4"/>
    <w:numStyleLink w:val="ImportedStyle2"/>
  </w:abstractNum>
  <w:abstractNum w:abstractNumId="4" w15:restartNumberingAfterBreak="0">
    <w:nsid w:val="378529D3"/>
    <w:multiLevelType w:val="hybridMultilevel"/>
    <w:tmpl w:val="5D10A4B4"/>
    <w:styleLink w:val="ImportedStyle2"/>
    <w:lvl w:ilvl="0" w:tplc="3BEC21A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CC8EB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38784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16545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B414A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72E82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8A4B3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EC54A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5A507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7C5550"/>
    <w:multiLevelType w:val="hybridMultilevel"/>
    <w:tmpl w:val="4BBE4282"/>
    <w:styleLink w:val="ImportedStyle3"/>
    <w:lvl w:ilvl="0" w:tplc="F8D24E1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429B62">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5B6690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C4841EC">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C14E2B4">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6E43EA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7B21560">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D546C52">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E88AA02">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762649893">
    <w:abstractNumId w:val="1"/>
  </w:num>
  <w:num w:numId="2" w16cid:durableId="961619135">
    <w:abstractNumId w:val="0"/>
  </w:num>
  <w:num w:numId="3" w16cid:durableId="871262435">
    <w:abstractNumId w:val="4"/>
  </w:num>
  <w:num w:numId="4" w16cid:durableId="982272276">
    <w:abstractNumId w:val="3"/>
  </w:num>
  <w:num w:numId="5" w16cid:durableId="91436375">
    <w:abstractNumId w:val="0"/>
    <w:lvlOverride w:ilvl="0">
      <w:startOverride w:val="6"/>
    </w:lvlOverride>
  </w:num>
  <w:num w:numId="6" w16cid:durableId="749348138">
    <w:abstractNumId w:val="5"/>
  </w:num>
  <w:num w:numId="7" w16cid:durableId="1329360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788"/>
    <w:rsid w:val="000149D2"/>
    <w:rsid w:val="0012538A"/>
    <w:rsid w:val="001B1F73"/>
    <w:rsid w:val="00323764"/>
    <w:rsid w:val="003351F2"/>
    <w:rsid w:val="00362DE3"/>
    <w:rsid w:val="00507066"/>
    <w:rsid w:val="006B3C34"/>
    <w:rsid w:val="0081278C"/>
    <w:rsid w:val="0085500B"/>
    <w:rsid w:val="008F4788"/>
    <w:rsid w:val="00AC4F63"/>
    <w:rsid w:val="00B947F1"/>
    <w:rsid w:val="00D33373"/>
    <w:rsid w:val="00E43C47"/>
    <w:rsid w:val="00EC3F5D"/>
    <w:rsid w:val="00F039A2"/>
    <w:rsid w:val="00F235A2"/>
    <w:rsid w:val="00F3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678D"/>
  <w15:docId w15:val="{85295C4C-79C9-4BDC-A528-960CB1AE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
    <w:pPr>
      <w:keepNext/>
      <w:keepLines/>
      <w:spacing w:before="120"/>
      <w:jc w:val="right"/>
      <w:outlineLvl w:val="1"/>
    </w:pPr>
    <w:rPr>
      <w:rFonts w:ascii="Calibri" w:eastAsia="Calibri" w:hAnsi="Calibri" w:cs="Calibri"/>
      <w:b/>
      <w:bCs/>
      <w:i/>
      <w:iCs/>
      <w:color w:val="0000FF"/>
      <w:sz w:val="24"/>
      <w:szCs w:val="24"/>
      <w:u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Heading1-Hidden">
    <w:name w:val="Heading 1-Hidden"/>
    <w:next w:val="Body"/>
    <w:pPr>
      <w:keepNext/>
      <w:keepLines/>
      <w:jc w:val="right"/>
      <w:outlineLvl w:val="0"/>
    </w:pPr>
    <w:rPr>
      <w:rFonts w:ascii="Calibri" w:eastAsia="Calibri" w:hAnsi="Calibri" w:cs="Calibri"/>
      <w:b/>
      <w:bCs/>
      <w:color w:val="000090"/>
      <w:sz w:val="28"/>
      <w:szCs w:val="28"/>
      <w:u w:color="000090"/>
    </w:rPr>
  </w:style>
  <w:style w:type="paragraph" w:styleId="ListParagraph">
    <w:name w:val="List Paragraph"/>
    <w:pPr>
      <w:ind w:left="720"/>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einberg.northwestern.edu/sites/simul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ri.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Kristen Brahier</cp:lastModifiedBy>
  <cp:revision>2</cp:revision>
  <dcterms:created xsi:type="dcterms:W3CDTF">2022-07-18T19:55:00Z</dcterms:created>
  <dcterms:modified xsi:type="dcterms:W3CDTF">2022-07-18T19:55:00Z</dcterms:modified>
</cp:coreProperties>
</file>