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6BD58BB7" w:rsidR="00E16BCF" w:rsidRDefault="00E16BCF" w:rsidP="006226E1">
      <w:pPr>
        <w:pStyle w:val="Heading2"/>
      </w:pPr>
      <w:r>
        <w:t>American Society of Regional Anesthesia and Pain Medicine</w:t>
      </w:r>
    </w:p>
    <w:p w14:paraId="75D633D4" w14:textId="7A5DEDA1" w:rsidR="00E16BCF" w:rsidRPr="00BA52C9" w:rsidRDefault="00FF77CA" w:rsidP="00E16BCF">
      <w:pPr>
        <w:rPr>
          <w:rFonts w:eastAsia="MS Mincho"/>
        </w:rPr>
      </w:pPr>
      <w:r w:rsidRPr="0003681D">
        <w:rPr>
          <w:noProof/>
        </w:rPr>
        <w:drawing>
          <wp:anchor distT="0" distB="0" distL="114300" distR="114300" simplePos="0" relativeHeight="251657728" behindDoc="0" locked="0" layoutInCell="1" allowOverlap="1" wp14:anchorId="168B0246" wp14:editId="241DC6B9">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9E6E93" w:rsidRDefault="007158BB" w:rsidP="009E6E93">
      <w:pPr>
        <w:jc w:val="right"/>
        <w:rPr>
          <w:rFonts w:asciiTheme="majorHAnsi" w:hAnsiTheme="majorHAnsi"/>
          <w:b/>
          <w:color w:val="1F497D" w:themeColor="text2"/>
          <w:sz w:val="28"/>
        </w:rPr>
      </w:pPr>
      <w:r w:rsidRPr="009E6E93">
        <w:rPr>
          <w:rFonts w:asciiTheme="majorHAnsi" w:hAnsiTheme="majorHAnsi"/>
          <w:b/>
          <w:color w:val="1F497D" w:themeColor="text2"/>
          <w:sz w:val="28"/>
        </w:rP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51FC5D20" w:rsidR="00E16BCF" w:rsidRDefault="005F233A" w:rsidP="00C015B2">
      <w:pPr>
        <w:pStyle w:val="Heading2"/>
      </w:pPr>
      <w:r>
        <w:t>Separation of Promotional from Educational Activities</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bookmarkStart w:id="0" w:name="_Hlk106887426"/>
            <w:r w:rsidRPr="007202F6">
              <w:rPr>
                <w:b/>
              </w:rPr>
              <w:t>Title</w:t>
            </w:r>
          </w:p>
        </w:tc>
        <w:tc>
          <w:tcPr>
            <w:tcW w:w="8031" w:type="dxa"/>
            <w:shd w:val="clear" w:color="auto" w:fill="B3B3B3"/>
          </w:tcPr>
          <w:p w14:paraId="4E1BC3C1" w14:textId="5C9EE181" w:rsidR="00E16BCF" w:rsidRPr="00855877" w:rsidRDefault="005F233A" w:rsidP="00951D50">
            <w:pPr>
              <w:rPr>
                <w:b/>
              </w:rPr>
            </w:pPr>
            <w:r>
              <w:rPr>
                <w:b/>
              </w:rPr>
              <w:t>Separation of Promotional from Educational Activities</w:t>
            </w:r>
          </w:p>
        </w:tc>
      </w:tr>
      <w:bookmarkEnd w:id="0"/>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21597434" w:rsidR="00E16BCF" w:rsidRPr="007202F6" w:rsidRDefault="00B60FB6" w:rsidP="00770A04">
            <w:pPr>
              <w:rPr>
                <w:b/>
              </w:rPr>
            </w:pPr>
            <w:r>
              <w:rPr>
                <w:b/>
              </w:rPr>
              <w:t>0</w:t>
            </w:r>
            <w:r w:rsidR="00C60DE1">
              <w:rPr>
                <w:b/>
              </w:rPr>
              <w:t>2</w:t>
            </w:r>
            <w:r>
              <w:rPr>
                <w:b/>
              </w:rPr>
              <w:t>/2012</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4516206B" w:rsidR="00E16BCF" w:rsidRPr="007202F6" w:rsidRDefault="00C60DE1" w:rsidP="00C60DE1">
            <w:pPr>
              <w:rPr>
                <w:b/>
              </w:rPr>
            </w:pPr>
            <w:r>
              <w:rPr>
                <w:b/>
              </w:rPr>
              <w:t>09</w:t>
            </w:r>
            <w:r w:rsidR="00B60FB6">
              <w:rPr>
                <w:b/>
              </w:rPr>
              <w:t>/201</w:t>
            </w:r>
            <w:r>
              <w:rPr>
                <w:b/>
              </w:rPr>
              <w:t>3</w:t>
            </w:r>
            <w:r w:rsidR="00B60FB6">
              <w:rPr>
                <w:b/>
              </w:rPr>
              <w:t xml:space="preserve">, </w:t>
            </w:r>
            <w:r>
              <w:rPr>
                <w:b/>
              </w:rPr>
              <w:t>1</w:t>
            </w:r>
            <w:r w:rsidR="00770A04">
              <w:rPr>
                <w:b/>
              </w:rPr>
              <w:t>2/201</w:t>
            </w:r>
            <w:r>
              <w:rPr>
                <w:b/>
              </w:rPr>
              <w:t>3</w:t>
            </w:r>
            <w:r w:rsidR="00770A04">
              <w:rPr>
                <w:b/>
              </w:rPr>
              <w:t xml:space="preserve">, </w:t>
            </w:r>
            <w:r w:rsidR="00B60FB6">
              <w:rPr>
                <w:b/>
              </w:rPr>
              <w:t>0</w:t>
            </w:r>
            <w:r>
              <w:rPr>
                <w:b/>
              </w:rPr>
              <w:t>3</w:t>
            </w:r>
            <w:r w:rsidR="00B60FB6">
              <w:rPr>
                <w:b/>
              </w:rPr>
              <w:t>/2014</w:t>
            </w:r>
            <w:r w:rsidR="006F7F99">
              <w:rPr>
                <w:b/>
              </w:rPr>
              <w:t>, 06/2014</w:t>
            </w:r>
            <w:r w:rsidR="006226E1">
              <w:rPr>
                <w:b/>
              </w:rPr>
              <w:t>, 07/2022</w:t>
            </w:r>
          </w:p>
        </w:tc>
      </w:tr>
    </w:tbl>
    <w:p w14:paraId="049C0554" w14:textId="77777777" w:rsidR="00E16BCF" w:rsidRDefault="00E16BCF" w:rsidP="00E16BCF"/>
    <w:p w14:paraId="2C9A6948" w14:textId="77777777" w:rsidR="00951D50" w:rsidRDefault="00951D50"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506EC03E" w14:textId="228C0D16" w:rsidR="009D0ACA" w:rsidRPr="007D5F7B" w:rsidRDefault="009D0ACA" w:rsidP="009D0ACA">
      <w:pPr>
        <w:autoSpaceDE w:val="0"/>
        <w:autoSpaceDN w:val="0"/>
        <w:adjustRightInd w:val="0"/>
        <w:rPr>
          <w:sz w:val="18"/>
          <w:szCs w:val="18"/>
          <w:lang w:eastAsia="ja-JP"/>
        </w:rPr>
      </w:pPr>
      <w:r w:rsidRPr="007D5F7B">
        <w:rPr>
          <w:sz w:val="18"/>
          <w:szCs w:val="18"/>
          <w:lang w:eastAsia="ja-JP"/>
        </w:rPr>
        <w:t xml:space="preserve">In compliance with the ACCME Standards for </w:t>
      </w:r>
      <w:r w:rsidR="00647BCE">
        <w:rPr>
          <w:sz w:val="18"/>
          <w:szCs w:val="18"/>
          <w:lang w:eastAsia="ja-JP"/>
        </w:rPr>
        <w:t>Integrity and Independence in Accredited Continuing Education</w:t>
      </w:r>
      <w:r w:rsidRPr="007D5F7B">
        <w:rPr>
          <w:sz w:val="18"/>
          <w:szCs w:val="18"/>
          <w:lang w:eastAsia="ja-JP"/>
        </w:rPr>
        <w:t xml:space="preserve">, arrangements for promotional activities (commercial exhibits, advertising, </w:t>
      </w:r>
      <w:r w:rsidR="00647BCE">
        <w:rPr>
          <w:sz w:val="18"/>
          <w:szCs w:val="18"/>
          <w:lang w:eastAsia="ja-JP"/>
        </w:rPr>
        <w:t xml:space="preserve">ineligible </w:t>
      </w:r>
      <w:r w:rsidRPr="007D5F7B">
        <w:rPr>
          <w:sz w:val="18"/>
          <w:szCs w:val="18"/>
          <w:lang w:eastAsia="ja-JP"/>
        </w:rPr>
        <w:t xml:space="preserve">company representative attendance, etc.) do not influence CME planning or interfere with the presentation of educational content, nor are they a condition of the provision of commercial support for CME activities (no quid pro quo). Therefore, </w:t>
      </w:r>
      <w:bookmarkStart w:id="1" w:name="_Hlk106955756"/>
      <w:r w:rsidRPr="007D5F7B">
        <w:rPr>
          <w:sz w:val="18"/>
          <w:szCs w:val="18"/>
          <w:lang w:eastAsia="ja-JP"/>
        </w:rPr>
        <w:t xml:space="preserve">ASRA </w:t>
      </w:r>
      <w:r w:rsidR="00647BCE">
        <w:rPr>
          <w:sz w:val="18"/>
          <w:szCs w:val="18"/>
          <w:lang w:eastAsia="ja-JP"/>
        </w:rPr>
        <w:t xml:space="preserve">Pain Medicine </w:t>
      </w:r>
      <w:r w:rsidRPr="007D5F7B">
        <w:rPr>
          <w:sz w:val="18"/>
          <w:szCs w:val="18"/>
          <w:lang w:eastAsia="ja-JP"/>
        </w:rPr>
        <w:t xml:space="preserve">CME </w:t>
      </w:r>
      <w:bookmarkEnd w:id="1"/>
      <w:r w:rsidRPr="007D5F7B">
        <w:rPr>
          <w:sz w:val="18"/>
          <w:szCs w:val="18"/>
          <w:lang w:eastAsia="ja-JP"/>
        </w:rPr>
        <w:t xml:space="preserve">enforces the following: </w:t>
      </w:r>
    </w:p>
    <w:p w14:paraId="43D1DE71" w14:textId="11248911" w:rsidR="009D0ACA" w:rsidRPr="007D5F7B" w:rsidRDefault="009D0ACA" w:rsidP="002D4E55">
      <w:pPr>
        <w:numPr>
          <w:ilvl w:val="0"/>
          <w:numId w:val="6"/>
        </w:numPr>
        <w:rPr>
          <w:bCs/>
          <w:sz w:val="18"/>
          <w:szCs w:val="18"/>
        </w:rPr>
      </w:pPr>
      <w:r w:rsidRPr="007D5F7B">
        <w:rPr>
          <w:sz w:val="18"/>
          <w:szCs w:val="18"/>
          <w:lang w:eastAsia="ja-JP"/>
        </w:rPr>
        <w:t>Exhibit and promotional activity fees separate and distinct from commercial support</w:t>
      </w:r>
      <w:r w:rsidRPr="007D5F7B">
        <w:rPr>
          <w:bCs/>
          <w:sz w:val="18"/>
          <w:szCs w:val="18"/>
        </w:rPr>
        <w:t xml:space="preserve"> and </w:t>
      </w:r>
      <w:r w:rsidR="00034091">
        <w:rPr>
          <w:bCs/>
          <w:sz w:val="18"/>
          <w:szCs w:val="18"/>
        </w:rPr>
        <w:t xml:space="preserve">not </w:t>
      </w:r>
      <w:r w:rsidRPr="007D5F7B">
        <w:rPr>
          <w:bCs/>
          <w:sz w:val="18"/>
          <w:szCs w:val="18"/>
        </w:rPr>
        <w:t xml:space="preserve">a condition of the provision of commercial support  </w:t>
      </w:r>
    </w:p>
    <w:p w14:paraId="654F7FAC" w14:textId="249A3A31" w:rsidR="009D0ACA" w:rsidRPr="007D5F7B" w:rsidRDefault="009D0ACA" w:rsidP="002D4E55">
      <w:pPr>
        <w:numPr>
          <w:ilvl w:val="0"/>
          <w:numId w:val="6"/>
        </w:numPr>
        <w:rPr>
          <w:bCs/>
          <w:sz w:val="18"/>
          <w:szCs w:val="18"/>
        </w:rPr>
      </w:pPr>
      <w:r w:rsidRPr="007D5F7B">
        <w:rPr>
          <w:bCs/>
          <w:sz w:val="18"/>
          <w:szCs w:val="18"/>
        </w:rPr>
        <w:t xml:space="preserve">Separation of promotional activities from the physical space and place of the educational activity </w:t>
      </w:r>
    </w:p>
    <w:p w14:paraId="35E1D588" w14:textId="67837EB9" w:rsidR="009D0ACA" w:rsidRPr="007D5F7B" w:rsidRDefault="009D0ACA" w:rsidP="002D4E55">
      <w:pPr>
        <w:numPr>
          <w:ilvl w:val="0"/>
          <w:numId w:val="6"/>
        </w:numPr>
        <w:rPr>
          <w:bCs/>
          <w:sz w:val="18"/>
          <w:szCs w:val="18"/>
        </w:rPr>
      </w:pPr>
      <w:r w:rsidRPr="007D5F7B">
        <w:rPr>
          <w:sz w:val="18"/>
          <w:szCs w:val="18"/>
          <w:lang w:eastAsia="ja-JP"/>
        </w:rPr>
        <w:t>Separation of promotional activities from the educational course materials</w:t>
      </w:r>
    </w:p>
    <w:p w14:paraId="33C99966" w14:textId="4AFA8E0D" w:rsidR="009D0ACA" w:rsidRPr="007D5F7B" w:rsidRDefault="009D0ACA" w:rsidP="002D4E55">
      <w:pPr>
        <w:numPr>
          <w:ilvl w:val="0"/>
          <w:numId w:val="6"/>
        </w:numPr>
        <w:rPr>
          <w:bCs/>
          <w:sz w:val="18"/>
          <w:szCs w:val="18"/>
        </w:rPr>
      </w:pPr>
      <w:r w:rsidRPr="007D5F7B">
        <w:rPr>
          <w:sz w:val="18"/>
          <w:szCs w:val="18"/>
          <w:lang w:eastAsia="ja-JP"/>
        </w:rPr>
        <w:t xml:space="preserve">Non-CME </w:t>
      </w:r>
      <w:r w:rsidR="00C139EA">
        <w:rPr>
          <w:sz w:val="18"/>
          <w:szCs w:val="18"/>
          <w:lang w:eastAsia="ja-JP"/>
        </w:rPr>
        <w:t xml:space="preserve">ancillary events </w:t>
      </w:r>
      <w:r w:rsidRPr="007D5F7B">
        <w:rPr>
          <w:sz w:val="18"/>
          <w:szCs w:val="18"/>
          <w:lang w:eastAsia="ja-JP"/>
        </w:rPr>
        <w:t>guidelines</w:t>
      </w:r>
    </w:p>
    <w:p w14:paraId="580EB379" w14:textId="53C7EE23" w:rsidR="009D0ACA" w:rsidRPr="007D5F7B" w:rsidRDefault="00647BCE" w:rsidP="002D4E55">
      <w:pPr>
        <w:pStyle w:val="Default"/>
        <w:numPr>
          <w:ilvl w:val="0"/>
          <w:numId w:val="6"/>
        </w:numPr>
        <w:rPr>
          <w:rFonts w:ascii="Times New Roman" w:hAnsi="Times New Roman" w:cs="Times New Roman"/>
          <w:bCs/>
          <w:sz w:val="18"/>
          <w:szCs w:val="18"/>
        </w:rPr>
      </w:pPr>
      <w:r>
        <w:rPr>
          <w:rFonts w:ascii="Times New Roman" w:hAnsi="Times New Roman" w:cs="Times New Roman"/>
          <w:sz w:val="18"/>
          <w:szCs w:val="18"/>
          <w:lang w:eastAsia="ja-JP"/>
        </w:rPr>
        <w:t>Ineligible c</w:t>
      </w:r>
      <w:r w:rsidR="009D0ACA">
        <w:rPr>
          <w:rFonts w:ascii="Times New Roman" w:hAnsi="Times New Roman" w:cs="Times New Roman"/>
          <w:sz w:val="18"/>
          <w:szCs w:val="18"/>
          <w:lang w:eastAsia="ja-JP"/>
        </w:rPr>
        <w:t>ompany representative</w:t>
      </w:r>
      <w:r w:rsidR="009D0ACA" w:rsidRPr="007D5F7B">
        <w:rPr>
          <w:rFonts w:ascii="Times New Roman" w:hAnsi="Times New Roman" w:cs="Times New Roman"/>
          <w:sz w:val="18"/>
          <w:szCs w:val="18"/>
          <w:lang w:eastAsia="ja-JP"/>
        </w:rPr>
        <w:t xml:space="preserve"> </w:t>
      </w:r>
      <w:r w:rsidR="009D0ACA">
        <w:rPr>
          <w:rFonts w:ascii="Times New Roman" w:hAnsi="Times New Roman" w:cs="Times New Roman"/>
          <w:sz w:val="18"/>
          <w:szCs w:val="18"/>
          <w:lang w:eastAsia="ja-JP"/>
        </w:rPr>
        <w:t xml:space="preserve">session </w:t>
      </w:r>
      <w:r w:rsidR="009D0ACA" w:rsidRPr="007D5F7B">
        <w:rPr>
          <w:rFonts w:ascii="Times New Roman" w:hAnsi="Times New Roman" w:cs="Times New Roman"/>
          <w:sz w:val="18"/>
          <w:szCs w:val="18"/>
          <w:lang w:eastAsia="ja-JP"/>
        </w:rPr>
        <w:t>attendance guidelines</w:t>
      </w:r>
    </w:p>
    <w:p w14:paraId="4708057E" w14:textId="186FC72B" w:rsidR="009D0ACA" w:rsidRPr="00241575" w:rsidRDefault="00E36FA3" w:rsidP="002D4E55">
      <w:pPr>
        <w:pStyle w:val="Default"/>
        <w:numPr>
          <w:ilvl w:val="0"/>
          <w:numId w:val="6"/>
        </w:numPr>
        <w:rPr>
          <w:rFonts w:ascii="Times New Roman" w:hAnsi="Times New Roman" w:cs="Times New Roman"/>
          <w:bCs/>
          <w:sz w:val="18"/>
          <w:szCs w:val="18"/>
        </w:rPr>
      </w:pPr>
      <w:r>
        <w:rPr>
          <w:rFonts w:ascii="Times New Roman" w:hAnsi="Times New Roman" w:cs="Times New Roman"/>
          <w:sz w:val="18"/>
          <w:szCs w:val="18"/>
        </w:rPr>
        <w:t xml:space="preserve">Ineligible </w:t>
      </w:r>
      <w:r w:rsidR="002B4008">
        <w:rPr>
          <w:rFonts w:ascii="Times New Roman" w:hAnsi="Times New Roman" w:cs="Times New Roman"/>
          <w:sz w:val="18"/>
          <w:szCs w:val="18"/>
        </w:rPr>
        <w:t>companies</w:t>
      </w:r>
      <w:r>
        <w:rPr>
          <w:rFonts w:ascii="Times New Roman" w:hAnsi="Times New Roman" w:cs="Times New Roman"/>
          <w:sz w:val="18"/>
          <w:szCs w:val="18"/>
        </w:rPr>
        <w:t xml:space="preserve"> </w:t>
      </w:r>
      <w:r w:rsidR="009D0ACA">
        <w:rPr>
          <w:rFonts w:ascii="Times New Roman" w:hAnsi="Times New Roman" w:cs="Times New Roman"/>
          <w:sz w:val="18"/>
          <w:szCs w:val="18"/>
        </w:rPr>
        <w:t>may not discuss CME planning or presentation with faculty</w:t>
      </w:r>
    </w:p>
    <w:p w14:paraId="19C79921" w14:textId="13388A7A" w:rsidR="009D0ACA" w:rsidRPr="007D5F7B" w:rsidRDefault="00647BCE" w:rsidP="002D4E55">
      <w:pPr>
        <w:pStyle w:val="Default"/>
        <w:numPr>
          <w:ilvl w:val="0"/>
          <w:numId w:val="6"/>
        </w:numPr>
        <w:rPr>
          <w:rFonts w:ascii="Times New Roman" w:hAnsi="Times New Roman" w:cs="Times New Roman"/>
          <w:bCs/>
          <w:sz w:val="18"/>
          <w:szCs w:val="18"/>
        </w:rPr>
      </w:pPr>
      <w:r>
        <w:rPr>
          <w:rFonts w:ascii="Times New Roman" w:hAnsi="Times New Roman" w:cs="Times New Roman"/>
          <w:sz w:val="18"/>
          <w:szCs w:val="18"/>
        </w:rPr>
        <w:t>Ineligible companies</w:t>
      </w:r>
      <w:r w:rsidR="009D0ACA" w:rsidRPr="007D5F7B">
        <w:rPr>
          <w:rFonts w:ascii="Times New Roman" w:hAnsi="Times New Roman" w:cs="Times New Roman"/>
          <w:sz w:val="18"/>
          <w:szCs w:val="18"/>
        </w:rPr>
        <w:t xml:space="preserve"> may not be the agent providing access to the CME activity </w:t>
      </w:r>
    </w:p>
    <w:p w14:paraId="194A3F1D" w14:textId="77777777" w:rsidR="009D0ACA" w:rsidRPr="007D5F7B" w:rsidRDefault="009D0ACA" w:rsidP="002D4E55">
      <w:pPr>
        <w:pStyle w:val="Default"/>
        <w:numPr>
          <w:ilvl w:val="0"/>
          <w:numId w:val="6"/>
        </w:numPr>
        <w:rPr>
          <w:rFonts w:ascii="Times New Roman" w:hAnsi="Times New Roman" w:cs="Times New Roman"/>
          <w:bCs/>
          <w:sz w:val="18"/>
          <w:szCs w:val="18"/>
        </w:rPr>
      </w:pPr>
      <w:r w:rsidRPr="007D5F7B">
        <w:rPr>
          <w:rFonts w:ascii="Times New Roman" w:hAnsi="Times New Roman" w:cs="Times New Roman"/>
          <w:sz w:val="18"/>
          <w:szCs w:val="18"/>
        </w:rPr>
        <w:t xml:space="preserve">Onsite compliance monitoring </w:t>
      </w:r>
    </w:p>
    <w:p w14:paraId="5063F0E2" w14:textId="5F93D9CF" w:rsidR="009D0ACA" w:rsidRPr="007D5F7B" w:rsidRDefault="00034091" w:rsidP="002D4E55">
      <w:pPr>
        <w:numPr>
          <w:ilvl w:val="0"/>
          <w:numId w:val="6"/>
        </w:numPr>
        <w:rPr>
          <w:bCs/>
          <w:sz w:val="18"/>
          <w:szCs w:val="18"/>
        </w:rPr>
      </w:pPr>
      <w:r>
        <w:rPr>
          <w:bCs/>
          <w:sz w:val="18"/>
          <w:szCs w:val="18"/>
        </w:rPr>
        <w:t>C</w:t>
      </w:r>
      <w:r w:rsidR="009D0ACA" w:rsidRPr="007D5F7B">
        <w:rPr>
          <w:bCs/>
          <w:sz w:val="18"/>
          <w:szCs w:val="18"/>
        </w:rPr>
        <w:t xml:space="preserve">learly communicated </w:t>
      </w:r>
      <w:r>
        <w:rPr>
          <w:bCs/>
          <w:sz w:val="18"/>
          <w:szCs w:val="18"/>
        </w:rPr>
        <w:t xml:space="preserve">policy requirements </w:t>
      </w:r>
      <w:r w:rsidR="009D0ACA" w:rsidRPr="007D5F7B">
        <w:rPr>
          <w:bCs/>
          <w:sz w:val="18"/>
          <w:szCs w:val="18"/>
        </w:rPr>
        <w:t xml:space="preserve">to all </w:t>
      </w:r>
      <w:r w:rsidR="00E36FA3">
        <w:rPr>
          <w:bCs/>
          <w:sz w:val="18"/>
          <w:szCs w:val="18"/>
        </w:rPr>
        <w:t xml:space="preserve">ineligible </w:t>
      </w:r>
      <w:r w:rsidR="009D0ACA" w:rsidRPr="007D5F7B">
        <w:rPr>
          <w:bCs/>
          <w:sz w:val="18"/>
          <w:szCs w:val="18"/>
        </w:rPr>
        <w:t>companies providing commercial support and/or exhibiting</w:t>
      </w:r>
    </w:p>
    <w:p w14:paraId="7A371E42" w14:textId="77777777" w:rsidR="0062107F" w:rsidRDefault="0062107F" w:rsidP="0062107F">
      <w:pPr>
        <w:rPr>
          <w:sz w:val="18"/>
          <w:szCs w:val="18"/>
        </w:rPr>
      </w:pPr>
    </w:p>
    <w:p w14:paraId="53760D8E" w14:textId="77777777" w:rsidR="00FD21B3" w:rsidRDefault="00FD21B3" w:rsidP="00FD21B3"/>
    <w:tbl>
      <w:tblPr>
        <w:tblStyle w:val="TableGrid"/>
        <w:tblW w:w="10260" w:type="dxa"/>
        <w:tblInd w:w="18" w:type="dxa"/>
        <w:tblLook w:val="04A0" w:firstRow="1" w:lastRow="0" w:firstColumn="1" w:lastColumn="0" w:noHBand="0" w:noVBand="1"/>
      </w:tblPr>
      <w:tblGrid>
        <w:gridCol w:w="10260"/>
      </w:tblGrid>
      <w:tr w:rsidR="00FD21B3" w14:paraId="6B812472" w14:textId="77777777" w:rsidTr="0024229C">
        <w:tc>
          <w:tcPr>
            <w:tcW w:w="10260" w:type="dxa"/>
            <w:shd w:val="clear" w:color="auto" w:fill="D9D9D9"/>
          </w:tcPr>
          <w:p w14:paraId="72F2E67C" w14:textId="3D9105F2" w:rsidR="00FD21B3" w:rsidRPr="000D1A5D" w:rsidRDefault="00FD21B3" w:rsidP="0024229C">
            <w:pPr>
              <w:ind w:left="360"/>
              <w:rPr>
                <w:b/>
                <w:color w:val="002060"/>
              </w:rPr>
            </w:pPr>
            <w:r>
              <w:rPr>
                <w:b/>
                <w:color w:val="002060"/>
                <w:sz w:val="22"/>
              </w:rPr>
              <w:t>Definitions</w:t>
            </w:r>
          </w:p>
        </w:tc>
      </w:tr>
    </w:tbl>
    <w:p w14:paraId="7F9DED53" w14:textId="77777777" w:rsidR="00FD21B3" w:rsidRDefault="00FD21B3" w:rsidP="00FD21B3">
      <w:pPr>
        <w:rPr>
          <w:b/>
          <w:sz w:val="18"/>
          <w:szCs w:val="18"/>
        </w:rPr>
      </w:pPr>
    </w:p>
    <w:p w14:paraId="0B5EE1DD" w14:textId="77777777" w:rsidR="00FD21B3" w:rsidRDefault="00FD21B3" w:rsidP="002D4E55">
      <w:pPr>
        <w:numPr>
          <w:ilvl w:val="0"/>
          <w:numId w:val="2"/>
        </w:numPr>
        <w:rPr>
          <w:b/>
          <w:sz w:val="18"/>
          <w:szCs w:val="18"/>
        </w:rPr>
      </w:pPr>
      <w:r w:rsidRPr="007D5F7B">
        <w:rPr>
          <w:b/>
          <w:sz w:val="18"/>
          <w:szCs w:val="18"/>
        </w:rPr>
        <w:t>Commercial Support</w:t>
      </w:r>
    </w:p>
    <w:p w14:paraId="520BA3F7" w14:textId="77777777" w:rsidR="00FD21B3" w:rsidRDefault="00FD21B3" w:rsidP="004F7BC2">
      <w:pPr>
        <w:rPr>
          <w:b/>
          <w:sz w:val="18"/>
          <w:szCs w:val="18"/>
        </w:rPr>
      </w:pPr>
      <w:r w:rsidRPr="007D5F7B">
        <w:rPr>
          <w:b/>
          <w:sz w:val="18"/>
          <w:szCs w:val="18"/>
        </w:rPr>
        <w:t>Educational Grant</w:t>
      </w:r>
    </w:p>
    <w:p w14:paraId="239E1BEA" w14:textId="7B25133A" w:rsidR="00FD21B3" w:rsidRPr="004F7BC2" w:rsidRDefault="00034091" w:rsidP="004F7BC2">
      <w:pPr>
        <w:rPr>
          <w:sz w:val="18"/>
          <w:szCs w:val="18"/>
        </w:rPr>
      </w:pPr>
      <w:r>
        <w:rPr>
          <w:sz w:val="18"/>
          <w:szCs w:val="18"/>
        </w:rPr>
        <w:t>Educational</w:t>
      </w:r>
      <w:r w:rsidR="00FD21B3" w:rsidRPr="004F7BC2">
        <w:rPr>
          <w:sz w:val="18"/>
          <w:szCs w:val="18"/>
        </w:rPr>
        <w:t xml:space="preserve"> grants </w:t>
      </w:r>
      <w:r>
        <w:rPr>
          <w:sz w:val="18"/>
          <w:szCs w:val="18"/>
        </w:rPr>
        <w:t xml:space="preserve">provide </w:t>
      </w:r>
      <w:r w:rsidR="00FD21B3" w:rsidRPr="004F7BC2">
        <w:rPr>
          <w:sz w:val="18"/>
          <w:szCs w:val="18"/>
        </w:rPr>
        <w:t xml:space="preserve">financial support with nothing in return and in a ‘hands-off’ </w:t>
      </w:r>
      <w:proofErr w:type="gramStart"/>
      <w:r w:rsidR="00FD21B3" w:rsidRPr="004F7BC2">
        <w:rPr>
          <w:sz w:val="18"/>
          <w:szCs w:val="18"/>
        </w:rPr>
        <w:t>manner;</w:t>
      </w:r>
      <w:proofErr w:type="gramEnd"/>
      <w:r w:rsidR="00FD21B3" w:rsidRPr="004F7BC2">
        <w:rPr>
          <w:sz w:val="18"/>
          <w:szCs w:val="18"/>
        </w:rPr>
        <w:t xml:space="preserve"> typically via the online grant submission process. A signed </w:t>
      </w:r>
      <w:r>
        <w:rPr>
          <w:sz w:val="18"/>
          <w:szCs w:val="18"/>
        </w:rPr>
        <w:t>letter of agreement (</w:t>
      </w:r>
      <w:r w:rsidR="00FD21B3" w:rsidRPr="004F7BC2">
        <w:rPr>
          <w:sz w:val="18"/>
          <w:szCs w:val="18"/>
        </w:rPr>
        <w:t>LOA</w:t>
      </w:r>
      <w:r>
        <w:rPr>
          <w:sz w:val="18"/>
          <w:szCs w:val="18"/>
        </w:rPr>
        <w:t>)</w:t>
      </w:r>
      <w:r w:rsidR="00FD21B3" w:rsidRPr="004F7BC2">
        <w:rPr>
          <w:sz w:val="18"/>
          <w:szCs w:val="18"/>
        </w:rPr>
        <w:t xml:space="preserve"> is required for this type of commercial support (see point </w:t>
      </w:r>
      <w:r w:rsidR="00206166">
        <w:rPr>
          <w:sz w:val="18"/>
          <w:szCs w:val="18"/>
        </w:rPr>
        <w:t>I</w:t>
      </w:r>
      <w:r w:rsidR="00FD21B3" w:rsidRPr="004F7BC2">
        <w:rPr>
          <w:sz w:val="18"/>
          <w:szCs w:val="18"/>
        </w:rPr>
        <w:t xml:space="preserve"> below).</w:t>
      </w:r>
    </w:p>
    <w:p w14:paraId="519A890B" w14:textId="77777777" w:rsidR="00F70B90" w:rsidRDefault="00F70B90" w:rsidP="004F7BC2">
      <w:pPr>
        <w:ind w:left="93"/>
        <w:rPr>
          <w:b/>
          <w:sz w:val="18"/>
          <w:szCs w:val="18"/>
        </w:rPr>
      </w:pPr>
    </w:p>
    <w:p w14:paraId="03A1AA0A" w14:textId="77777777" w:rsidR="00FD21B3" w:rsidRDefault="00FD21B3" w:rsidP="004F7BC2">
      <w:pPr>
        <w:rPr>
          <w:b/>
          <w:sz w:val="18"/>
          <w:szCs w:val="18"/>
        </w:rPr>
      </w:pPr>
      <w:r w:rsidRPr="007D5F7B">
        <w:rPr>
          <w:b/>
          <w:sz w:val="18"/>
          <w:szCs w:val="18"/>
        </w:rPr>
        <w:t xml:space="preserve">In-Kind Support </w:t>
      </w:r>
    </w:p>
    <w:p w14:paraId="6C0506CA" w14:textId="21D7B2C3" w:rsidR="00FD21B3" w:rsidRDefault="00034091" w:rsidP="004F7BC2">
      <w:pPr>
        <w:rPr>
          <w:sz w:val="18"/>
          <w:szCs w:val="18"/>
        </w:rPr>
      </w:pPr>
      <w:r>
        <w:rPr>
          <w:sz w:val="18"/>
          <w:szCs w:val="18"/>
        </w:rPr>
        <w:t xml:space="preserve">In-kind support </w:t>
      </w:r>
      <w:r w:rsidR="00882CE1">
        <w:rPr>
          <w:sz w:val="18"/>
          <w:szCs w:val="18"/>
        </w:rPr>
        <w:t>provide</w:t>
      </w:r>
      <w:r w:rsidR="00C015B2">
        <w:rPr>
          <w:sz w:val="18"/>
          <w:szCs w:val="18"/>
        </w:rPr>
        <w:t>s</w:t>
      </w:r>
      <w:r w:rsidR="00882CE1">
        <w:rPr>
          <w:sz w:val="18"/>
          <w:szCs w:val="18"/>
        </w:rPr>
        <w:t xml:space="preserve"> </w:t>
      </w:r>
      <w:r w:rsidR="00FD21B3" w:rsidRPr="004F7BC2">
        <w:rPr>
          <w:sz w:val="18"/>
          <w:szCs w:val="18"/>
        </w:rPr>
        <w:t>material</w:t>
      </w:r>
      <w:r w:rsidR="00882CE1">
        <w:rPr>
          <w:sz w:val="18"/>
          <w:szCs w:val="18"/>
        </w:rPr>
        <w:t xml:space="preserve"> or services</w:t>
      </w:r>
      <w:r w:rsidR="00FD21B3" w:rsidRPr="004F7BC2">
        <w:rPr>
          <w:sz w:val="18"/>
          <w:szCs w:val="18"/>
        </w:rPr>
        <w:t xml:space="preserve"> </w:t>
      </w:r>
      <w:r w:rsidR="004513B3">
        <w:rPr>
          <w:sz w:val="18"/>
          <w:szCs w:val="18"/>
        </w:rPr>
        <w:t xml:space="preserve">(any </w:t>
      </w:r>
      <w:r w:rsidR="00FD21B3" w:rsidRPr="004F7BC2">
        <w:rPr>
          <w:sz w:val="18"/>
          <w:szCs w:val="18"/>
        </w:rPr>
        <w:t>support</w:t>
      </w:r>
      <w:r w:rsidR="004513B3">
        <w:rPr>
          <w:sz w:val="18"/>
          <w:szCs w:val="18"/>
        </w:rPr>
        <w:t xml:space="preserve"> other than money)</w:t>
      </w:r>
      <w:r w:rsidR="00C015B2">
        <w:rPr>
          <w:sz w:val="18"/>
          <w:szCs w:val="18"/>
        </w:rPr>
        <w:t xml:space="preserve">.  </w:t>
      </w:r>
      <w:r w:rsidR="00FD21B3" w:rsidRPr="004F7BC2">
        <w:rPr>
          <w:sz w:val="18"/>
          <w:szCs w:val="18"/>
        </w:rPr>
        <w:t xml:space="preserve">A signed LOA is required for this type of commercial support (see point </w:t>
      </w:r>
      <w:r w:rsidR="00206166">
        <w:rPr>
          <w:sz w:val="18"/>
          <w:szCs w:val="18"/>
        </w:rPr>
        <w:t>I</w:t>
      </w:r>
      <w:r w:rsidR="00FD21B3" w:rsidRPr="004F7BC2">
        <w:rPr>
          <w:sz w:val="18"/>
          <w:szCs w:val="18"/>
        </w:rPr>
        <w:t xml:space="preserve"> below).</w:t>
      </w:r>
    </w:p>
    <w:p w14:paraId="0B3BDC72" w14:textId="77777777" w:rsidR="00FD21B3" w:rsidRPr="007D5F7B" w:rsidRDefault="00FD21B3" w:rsidP="00FD21B3">
      <w:pPr>
        <w:rPr>
          <w:sz w:val="18"/>
          <w:szCs w:val="18"/>
          <w:lang w:val="en-GB"/>
        </w:rPr>
      </w:pPr>
    </w:p>
    <w:p w14:paraId="1284C394" w14:textId="77777777" w:rsidR="00FD21B3" w:rsidRPr="007D5F7B" w:rsidRDefault="00FD21B3" w:rsidP="002D4E55">
      <w:pPr>
        <w:numPr>
          <w:ilvl w:val="0"/>
          <w:numId w:val="2"/>
        </w:numPr>
        <w:rPr>
          <w:b/>
          <w:sz w:val="18"/>
          <w:szCs w:val="18"/>
        </w:rPr>
      </w:pPr>
      <w:r w:rsidRPr="007D5F7B">
        <w:rPr>
          <w:b/>
          <w:sz w:val="18"/>
          <w:szCs w:val="18"/>
        </w:rPr>
        <w:t>Exhibition and Promotional Support</w:t>
      </w:r>
    </w:p>
    <w:p w14:paraId="0A4FC728" w14:textId="77777777" w:rsidR="00FD21B3" w:rsidRPr="007D5F7B" w:rsidRDefault="00FD21B3" w:rsidP="004F7BC2">
      <w:pPr>
        <w:rPr>
          <w:b/>
          <w:sz w:val="18"/>
          <w:szCs w:val="18"/>
        </w:rPr>
      </w:pPr>
      <w:r w:rsidRPr="007D5F7B">
        <w:rPr>
          <w:b/>
          <w:sz w:val="18"/>
          <w:szCs w:val="18"/>
        </w:rPr>
        <w:t>Exhibition</w:t>
      </w:r>
    </w:p>
    <w:p w14:paraId="3197FA76" w14:textId="0CAD9301" w:rsidR="00FD21B3" w:rsidRPr="004F7BC2" w:rsidRDefault="00034091" w:rsidP="004F7BC2">
      <w:pPr>
        <w:rPr>
          <w:sz w:val="18"/>
          <w:szCs w:val="18"/>
        </w:rPr>
      </w:pPr>
      <w:r>
        <w:rPr>
          <w:sz w:val="18"/>
          <w:szCs w:val="18"/>
        </w:rPr>
        <w:t xml:space="preserve">Exhibition refers to any </w:t>
      </w:r>
      <w:r w:rsidR="00FD21B3" w:rsidRPr="004F7BC2">
        <w:rPr>
          <w:sz w:val="18"/>
          <w:szCs w:val="18"/>
        </w:rPr>
        <w:t>promotional/marketing space provided by ASRA</w:t>
      </w:r>
      <w:r w:rsidR="00ED015E">
        <w:rPr>
          <w:sz w:val="18"/>
          <w:szCs w:val="18"/>
        </w:rPr>
        <w:t xml:space="preserve"> Pain Medicine</w:t>
      </w:r>
      <w:r w:rsidR="00FD21B3" w:rsidRPr="004F7BC2">
        <w:rPr>
          <w:sz w:val="18"/>
          <w:szCs w:val="18"/>
        </w:rPr>
        <w:t xml:space="preserve"> in return for a fee. </w:t>
      </w:r>
    </w:p>
    <w:p w14:paraId="30883C38" w14:textId="77777777" w:rsidR="00F70B90" w:rsidRDefault="00F70B90" w:rsidP="004F7BC2">
      <w:pPr>
        <w:ind w:left="547"/>
        <w:rPr>
          <w:sz w:val="18"/>
          <w:szCs w:val="18"/>
        </w:rPr>
      </w:pPr>
    </w:p>
    <w:p w14:paraId="2E704BCC" w14:textId="77777777" w:rsidR="00FD21B3" w:rsidRPr="007D5F7B" w:rsidRDefault="00FD21B3" w:rsidP="004F7BC2">
      <w:pPr>
        <w:rPr>
          <w:sz w:val="18"/>
          <w:szCs w:val="18"/>
        </w:rPr>
      </w:pPr>
      <w:r w:rsidRPr="007D5F7B">
        <w:rPr>
          <w:b/>
          <w:sz w:val="18"/>
          <w:szCs w:val="18"/>
        </w:rPr>
        <w:t>Promotional Support</w:t>
      </w:r>
    </w:p>
    <w:p w14:paraId="25189D2A" w14:textId="0782F48E" w:rsidR="00FD21B3" w:rsidRPr="004F7BC2" w:rsidRDefault="00034091" w:rsidP="004F7BC2">
      <w:pPr>
        <w:rPr>
          <w:sz w:val="18"/>
          <w:szCs w:val="18"/>
        </w:rPr>
      </w:pPr>
      <w:r>
        <w:rPr>
          <w:sz w:val="18"/>
          <w:szCs w:val="18"/>
        </w:rPr>
        <w:t>Promotional support is a</w:t>
      </w:r>
      <w:r w:rsidR="00FD21B3" w:rsidRPr="004F7BC2">
        <w:rPr>
          <w:sz w:val="18"/>
          <w:szCs w:val="18"/>
        </w:rPr>
        <w:t>ny funding provided in return for a promotional/marketing opportunity offered by ASRA</w:t>
      </w:r>
      <w:r w:rsidR="00ED015E">
        <w:rPr>
          <w:sz w:val="18"/>
          <w:szCs w:val="18"/>
        </w:rPr>
        <w:t xml:space="preserve"> Pain Medicine</w:t>
      </w:r>
      <w:r w:rsidR="00FD21B3" w:rsidRPr="004F7BC2">
        <w:rPr>
          <w:sz w:val="18"/>
          <w:szCs w:val="18"/>
        </w:rPr>
        <w:t xml:space="preserve">. This includes advertisements, bag inserts, tote bags, lanyards, etc. Non-CME </w:t>
      </w:r>
      <w:r>
        <w:rPr>
          <w:sz w:val="18"/>
          <w:szCs w:val="18"/>
        </w:rPr>
        <w:t xml:space="preserve">Ancillary Events </w:t>
      </w:r>
      <w:r w:rsidR="00FD21B3" w:rsidRPr="004F7BC2">
        <w:rPr>
          <w:sz w:val="18"/>
          <w:szCs w:val="18"/>
        </w:rPr>
        <w:t xml:space="preserve">organized by </w:t>
      </w:r>
      <w:r w:rsidR="00E36FA3">
        <w:rPr>
          <w:sz w:val="18"/>
          <w:szCs w:val="18"/>
        </w:rPr>
        <w:t>ineligible companies</w:t>
      </w:r>
      <w:r w:rsidR="00E36FA3" w:rsidRPr="004F7BC2">
        <w:rPr>
          <w:sz w:val="18"/>
          <w:szCs w:val="18"/>
        </w:rPr>
        <w:t xml:space="preserve"> </w:t>
      </w:r>
      <w:r w:rsidR="00FD21B3" w:rsidRPr="004F7BC2">
        <w:rPr>
          <w:sz w:val="18"/>
          <w:szCs w:val="18"/>
        </w:rPr>
        <w:t>are also included in this category.</w:t>
      </w:r>
    </w:p>
    <w:p w14:paraId="1D7C0031" w14:textId="77777777" w:rsidR="00C54F7E" w:rsidRDefault="00C54F7E" w:rsidP="0062107F">
      <w:pPr>
        <w:rPr>
          <w:sz w:val="18"/>
          <w:szCs w:val="18"/>
        </w:rPr>
      </w:pPr>
    </w:p>
    <w:p w14:paraId="146682FA" w14:textId="77777777" w:rsidR="009D0ACA" w:rsidRDefault="009D0ACA" w:rsidP="0062107F">
      <w:pPr>
        <w:rPr>
          <w:sz w:val="18"/>
          <w:szCs w:val="18"/>
        </w:rPr>
      </w:pPr>
    </w:p>
    <w:p w14:paraId="68A6963D" w14:textId="77777777" w:rsidR="00FD21B3" w:rsidRPr="00C54F7E" w:rsidRDefault="00FD21B3" w:rsidP="0062107F">
      <w:pPr>
        <w:rPr>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40741" w:rsidRPr="00B40741" w14:paraId="0AB4094E" w14:textId="77777777" w:rsidTr="00C00030">
        <w:tc>
          <w:tcPr>
            <w:tcW w:w="10070" w:type="dxa"/>
            <w:shd w:val="clear" w:color="auto" w:fill="D9D9D9" w:themeFill="background1" w:themeFillShade="D9"/>
          </w:tcPr>
          <w:p w14:paraId="64116747" w14:textId="7800F26B" w:rsidR="00E16BCF" w:rsidRPr="00110D2E" w:rsidRDefault="00C00030" w:rsidP="00B40741">
            <w:pPr>
              <w:ind w:left="360"/>
              <w:rPr>
                <w:b/>
                <w:szCs w:val="18"/>
              </w:rPr>
            </w:pPr>
            <w:r w:rsidRPr="00110D2E">
              <w:rPr>
                <w:b/>
                <w:color w:val="002060"/>
                <w:sz w:val="22"/>
                <w:szCs w:val="18"/>
              </w:rPr>
              <w:t>Procedure</w:t>
            </w:r>
          </w:p>
        </w:tc>
      </w:tr>
    </w:tbl>
    <w:p w14:paraId="72F5AF37" w14:textId="77777777" w:rsidR="004F0A0C" w:rsidRPr="008B477D" w:rsidRDefault="004F0A0C" w:rsidP="004F0A0C">
      <w:pPr>
        <w:rPr>
          <w:sz w:val="18"/>
        </w:rPr>
      </w:pPr>
    </w:p>
    <w:p w14:paraId="68E80F1A" w14:textId="77777777" w:rsidR="009D0ACA" w:rsidRPr="007D5F7B" w:rsidRDefault="009D0ACA" w:rsidP="002D4E55">
      <w:pPr>
        <w:numPr>
          <w:ilvl w:val="0"/>
          <w:numId w:val="8"/>
        </w:numPr>
        <w:autoSpaceDE w:val="0"/>
        <w:autoSpaceDN w:val="0"/>
        <w:adjustRightInd w:val="0"/>
        <w:rPr>
          <w:b/>
          <w:sz w:val="18"/>
          <w:szCs w:val="18"/>
          <w:lang w:eastAsia="ja-JP"/>
        </w:rPr>
      </w:pPr>
      <w:r w:rsidRPr="007D5F7B">
        <w:rPr>
          <w:b/>
          <w:sz w:val="18"/>
          <w:szCs w:val="18"/>
          <w:lang w:eastAsia="ja-JP"/>
        </w:rPr>
        <w:t xml:space="preserve">Exhibit and Promotional Activity Fees Shall be Separate and Distinct </w:t>
      </w:r>
      <w:proofErr w:type="gramStart"/>
      <w:r w:rsidRPr="007D5F7B">
        <w:rPr>
          <w:b/>
          <w:sz w:val="18"/>
          <w:szCs w:val="18"/>
          <w:lang w:eastAsia="ja-JP"/>
        </w:rPr>
        <w:t>From</w:t>
      </w:r>
      <w:proofErr w:type="gramEnd"/>
      <w:r w:rsidRPr="007D5F7B">
        <w:rPr>
          <w:b/>
          <w:sz w:val="18"/>
          <w:szCs w:val="18"/>
          <w:lang w:eastAsia="ja-JP"/>
        </w:rPr>
        <w:t xml:space="preserve"> Commercial Support </w:t>
      </w:r>
    </w:p>
    <w:p w14:paraId="299848EA" w14:textId="5B05CA44" w:rsidR="009D0ACA" w:rsidRPr="007D5F7B" w:rsidRDefault="009D0ACA" w:rsidP="002D4E55">
      <w:pPr>
        <w:numPr>
          <w:ilvl w:val="0"/>
          <w:numId w:val="9"/>
        </w:numPr>
        <w:rPr>
          <w:bCs/>
          <w:sz w:val="18"/>
          <w:szCs w:val="18"/>
        </w:rPr>
      </w:pPr>
      <w:r w:rsidRPr="007D5F7B">
        <w:rPr>
          <w:sz w:val="18"/>
          <w:szCs w:val="18"/>
        </w:rPr>
        <w:t xml:space="preserve">Complimentary exhibit and/or promotional activities will not be provided to those </w:t>
      </w:r>
      <w:r w:rsidR="00ED015E">
        <w:rPr>
          <w:sz w:val="18"/>
          <w:szCs w:val="18"/>
        </w:rPr>
        <w:t xml:space="preserve">ineligible </w:t>
      </w:r>
      <w:r w:rsidRPr="007D5F7B">
        <w:rPr>
          <w:sz w:val="18"/>
          <w:szCs w:val="18"/>
        </w:rPr>
        <w:t xml:space="preserve">companies providing commercial support (educational grants or in-kind support). </w:t>
      </w:r>
    </w:p>
    <w:p w14:paraId="52320522" w14:textId="77777777" w:rsidR="009D0ACA" w:rsidRPr="007D5F7B" w:rsidRDefault="009D0ACA" w:rsidP="002D4E55">
      <w:pPr>
        <w:numPr>
          <w:ilvl w:val="0"/>
          <w:numId w:val="9"/>
        </w:numPr>
        <w:rPr>
          <w:bCs/>
          <w:sz w:val="18"/>
          <w:szCs w:val="18"/>
        </w:rPr>
      </w:pPr>
      <w:r w:rsidRPr="007D5F7B">
        <w:rPr>
          <w:sz w:val="18"/>
          <w:szCs w:val="18"/>
        </w:rPr>
        <w:lastRenderedPageBreak/>
        <w:t xml:space="preserve">A separate and distinct fee must be paid for exhibit space or other promotional activities during the activity for which support was provided. </w:t>
      </w:r>
    </w:p>
    <w:p w14:paraId="63FBD82B" w14:textId="77777777" w:rsidR="009D0ACA" w:rsidRPr="007D5F7B" w:rsidRDefault="009D0ACA" w:rsidP="009D0ACA">
      <w:pPr>
        <w:autoSpaceDE w:val="0"/>
        <w:autoSpaceDN w:val="0"/>
        <w:adjustRightInd w:val="0"/>
        <w:ind w:left="720"/>
        <w:rPr>
          <w:spacing w:val="-3"/>
          <w:sz w:val="18"/>
          <w:szCs w:val="18"/>
        </w:rPr>
      </w:pPr>
    </w:p>
    <w:p w14:paraId="4FA0DC43" w14:textId="77777777" w:rsidR="009D0ACA" w:rsidRPr="007D5F7B" w:rsidRDefault="009D0ACA" w:rsidP="002D4E55">
      <w:pPr>
        <w:numPr>
          <w:ilvl w:val="0"/>
          <w:numId w:val="8"/>
        </w:numPr>
        <w:autoSpaceDE w:val="0"/>
        <w:autoSpaceDN w:val="0"/>
        <w:adjustRightInd w:val="0"/>
        <w:rPr>
          <w:b/>
          <w:sz w:val="18"/>
          <w:szCs w:val="18"/>
          <w:lang w:eastAsia="ja-JP"/>
        </w:rPr>
      </w:pPr>
      <w:r w:rsidRPr="007D5F7B">
        <w:rPr>
          <w:b/>
          <w:sz w:val="18"/>
          <w:szCs w:val="18"/>
          <w:lang w:eastAsia="ja-JP"/>
        </w:rPr>
        <w:t xml:space="preserve">Separation of Promotional Activities from the Physical Space and Place of the Educational Activity </w:t>
      </w:r>
    </w:p>
    <w:p w14:paraId="692ECCBB" w14:textId="77777777" w:rsidR="009D0ACA" w:rsidRPr="007D5F7B" w:rsidRDefault="009D0ACA" w:rsidP="002D4E55">
      <w:pPr>
        <w:pStyle w:val="List3"/>
        <w:numPr>
          <w:ilvl w:val="0"/>
          <w:numId w:val="10"/>
        </w:numPr>
        <w:suppressAutoHyphens/>
        <w:rPr>
          <w:sz w:val="18"/>
          <w:szCs w:val="18"/>
        </w:rPr>
      </w:pPr>
      <w:r w:rsidRPr="007D5F7B">
        <w:rPr>
          <w:bCs/>
          <w:sz w:val="18"/>
          <w:szCs w:val="18"/>
        </w:rPr>
        <w:t xml:space="preserve">Absolutely no promotional activities will be permitted in the </w:t>
      </w:r>
      <w:r>
        <w:rPr>
          <w:bCs/>
          <w:sz w:val="18"/>
          <w:szCs w:val="18"/>
        </w:rPr>
        <w:t>same</w:t>
      </w:r>
      <w:r w:rsidRPr="007D5F7B">
        <w:rPr>
          <w:bCs/>
          <w:sz w:val="18"/>
          <w:szCs w:val="18"/>
        </w:rPr>
        <w:t xml:space="preserve"> room immediately prior to, during, or after a CME activity.</w:t>
      </w:r>
    </w:p>
    <w:p w14:paraId="43710C55" w14:textId="63413556" w:rsidR="009D0ACA" w:rsidRPr="007D5F7B" w:rsidRDefault="009D0ACA" w:rsidP="002D4E55">
      <w:pPr>
        <w:pStyle w:val="List3"/>
        <w:numPr>
          <w:ilvl w:val="0"/>
          <w:numId w:val="10"/>
        </w:numPr>
        <w:suppressAutoHyphens/>
        <w:rPr>
          <w:sz w:val="18"/>
          <w:szCs w:val="18"/>
        </w:rPr>
      </w:pPr>
      <w:r w:rsidRPr="007D5F7B">
        <w:rPr>
          <w:bCs/>
          <w:sz w:val="18"/>
          <w:szCs w:val="18"/>
        </w:rPr>
        <w:t>Exhibit materials must be in a room or area separate from the education</w:t>
      </w:r>
      <w:r w:rsidR="00034091">
        <w:rPr>
          <w:bCs/>
          <w:sz w:val="18"/>
          <w:szCs w:val="18"/>
        </w:rPr>
        <w:t>,</w:t>
      </w:r>
      <w:r w:rsidRPr="007D5F7B">
        <w:rPr>
          <w:bCs/>
          <w:sz w:val="18"/>
          <w:szCs w:val="18"/>
        </w:rPr>
        <w:t xml:space="preserve"> and the exhibits must not interfere or in any way compete with the learning experience.</w:t>
      </w:r>
    </w:p>
    <w:p w14:paraId="62F2F005" w14:textId="77777777" w:rsidR="009D0ACA" w:rsidRPr="007D5F7B" w:rsidRDefault="009D0ACA" w:rsidP="002D4E55">
      <w:pPr>
        <w:numPr>
          <w:ilvl w:val="0"/>
          <w:numId w:val="10"/>
        </w:numPr>
        <w:rPr>
          <w:bCs/>
          <w:sz w:val="18"/>
          <w:szCs w:val="18"/>
        </w:rPr>
      </w:pPr>
      <w:r w:rsidRPr="007D5F7B">
        <w:rPr>
          <w:sz w:val="18"/>
          <w:szCs w:val="18"/>
        </w:rPr>
        <w:t>All promotional activities including interviews, demonstrations, and the distribution of literature or samples must be made within the exhibitor’s space only; canvassing or distributing promotional materials outside the exhibitor’s rented exhibit space is not permitted.</w:t>
      </w:r>
    </w:p>
    <w:p w14:paraId="1CEED32C" w14:textId="38D5558E" w:rsidR="009D0ACA" w:rsidRPr="007D5F7B" w:rsidRDefault="009D0ACA" w:rsidP="002D4E55">
      <w:pPr>
        <w:numPr>
          <w:ilvl w:val="0"/>
          <w:numId w:val="10"/>
        </w:numPr>
        <w:rPr>
          <w:sz w:val="18"/>
          <w:szCs w:val="18"/>
        </w:rPr>
      </w:pPr>
      <w:r w:rsidRPr="007D5F7B">
        <w:rPr>
          <w:sz w:val="18"/>
          <w:szCs w:val="18"/>
        </w:rPr>
        <w:t>Specific times are established for exhibit viewing and/or other promotional activities (including industry</w:t>
      </w:r>
      <w:r w:rsidR="00034091">
        <w:rPr>
          <w:sz w:val="18"/>
          <w:szCs w:val="18"/>
        </w:rPr>
        <w:t>-</w:t>
      </w:r>
      <w:r w:rsidR="00C139EA">
        <w:rPr>
          <w:sz w:val="18"/>
          <w:szCs w:val="18"/>
        </w:rPr>
        <w:t>organized non-CME ancillary events</w:t>
      </w:r>
      <w:r w:rsidRPr="007D5F7B">
        <w:rPr>
          <w:sz w:val="18"/>
          <w:szCs w:val="18"/>
        </w:rPr>
        <w:t>).</w:t>
      </w:r>
    </w:p>
    <w:p w14:paraId="11281348" w14:textId="008044D4" w:rsidR="009D0ACA" w:rsidRPr="007D5F7B" w:rsidRDefault="009D0ACA" w:rsidP="002D4E55">
      <w:pPr>
        <w:numPr>
          <w:ilvl w:val="0"/>
          <w:numId w:val="10"/>
        </w:numPr>
        <w:rPr>
          <w:sz w:val="18"/>
          <w:szCs w:val="18"/>
        </w:rPr>
      </w:pPr>
      <w:r w:rsidRPr="007D5F7B">
        <w:rPr>
          <w:sz w:val="18"/>
          <w:szCs w:val="18"/>
        </w:rPr>
        <w:t>Food and beverage may be</w:t>
      </w:r>
      <w:r w:rsidRPr="007D5F7B">
        <w:rPr>
          <w:sz w:val="18"/>
          <w:szCs w:val="18"/>
          <w:lang w:eastAsia="ja-JP"/>
        </w:rPr>
        <w:t xml:space="preserve"> served by ASRA </w:t>
      </w:r>
      <w:r w:rsidR="00ED015E">
        <w:rPr>
          <w:sz w:val="18"/>
          <w:szCs w:val="18"/>
          <w:lang w:eastAsia="ja-JP"/>
        </w:rPr>
        <w:t xml:space="preserve">Pain Medicine </w:t>
      </w:r>
      <w:r w:rsidRPr="007D5F7B">
        <w:rPr>
          <w:sz w:val="18"/>
          <w:szCs w:val="18"/>
          <w:lang w:eastAsia="ja-JP"/>
        </w:rPr>
        <w:t xml:space="preserve">in the exhibit hall </w:t>
      </w:r>
      <w:proofErr w:type="gramStart"/>
      <w:r w:rsidRPr="007D5F7B">
        <w:rPr>
          <w:sz w:val="18"/>
          <w:szCs w:val="18"/>
          <w:lang w:eastAsia="ja-JP"/>
        </w:rPr>
        <w:t>in order to</w:t>
      </w:r>
      <w:proofErr w:type="gramEnd"/>
      <w:r w:rsidRPr="007D5F7B">
        <w:rPr>
          <w:sz w:val="18"/>
          <w:szCs w:val="18"/>
          <w:lang w:eastAsia="ja-JP"/>
        </w:rPr>
        <w:t xml:space="preserve"> encourage interactions between attendees and exhibiting companies. </w:t>
      </w:r>
    </w:p>
    <w:p w14:paraId="497871E5" w14:textId="77777777" w:rsidR="009D0ACA" w:rsidRPr="007D5F7B" w:rsidRDefault="009D0ACA" w:rsidP="009D0ACA">
      <w:pPr>
        <w:rPr>
          <w:sz w:val="18"/>
          <w:szCs w:val="18"/>
        </w:rPr>
      </w:pPr>
    </w:p>
    <w:p w14:paraId="2CB635A2" w14:textId="77777777" w:rsidR="009D0ACA" w:rsidRPr="007D5F7B" w:rsidRDefault="009D0ACA" w:rsidP="002D4E55">
      <w:pPr>
        <w:numPr>
          <w:ilvl w:val="0"/>
          <w:numId w:val="8"/>
        </w:numPr>
        <w:autoSpaceDE w:val="0"/>
        <w:autoSpaceDN w:val="0"/>
        <w:adjustRightInd w:val="0"/>
        <w:rPr>
          <w:b/>
          <w:sz w:val="18"/>
          <w:szCs w:val="18"/>
          <w:lang w:eastAsia="ja-JP"/>
        </w:rPr>
      </w:pPr>
      <w:r w:rsidRPr="007D5F7B">
        <w:rPr>
          <w:b/>
          <w:sz w:val="18"/>
          <w:szCs w:val="18"/>
          <w:lang w:eastAsia="ja-JP"/>
        </w:rPr>
        <w:t xml:space="preserve">Separation of Promotional Activities from the Educational Course Materials </w:t>
      </w:r>
    </w:p>
    <w:p w14:paraId="653460B7" w14:textId="71415A43" w:rsidR="009D0ACA" w:rsidRPr="007D5F7B" w:rsidRDefault="009D0ACA" w:rsidP="004F7BC2">
      <w:pPr>
        <w:numPr>
          <w:ilvl w:val="0"/>
          <w:numId w:val="11"/>
        </w:numPr>
        <w:autoSpaceDE w:val="0"/>
        <w:autoSpaceDN w:val="0"/>
        <w:adjustRightInd w:val="0"/>
        <w:ind w:left="360"/>
        <w:rPr>
          <w:spacing w:val="-3"/>
          <w:sz w:val="18"/>
          <w:szCs w:val="18"/>
        </w:rPr>
      </w:pPr>
      <w:r w:rsidRPr="007D5F7B">
        <w:rPr>
          <w:bCs/>
          <w:sz w:val="18"/>
          <w:szCs w:val="18"/>
          <w:lang w:eastAsia="ja-JP"/>
        </w:rPr>
        <w:t xml:space="preserve">ASRA </w:t>
      </w:r>
      <w:r w:rsidR="00ED015E">
        <w:rPr>
          <w:bCs/>
          <w:sz w:val="18"/>
          <w:szCs w:val="18"/>
          <w:lang w:eastAsia="ja-JP"/>
        </w:rPr>
        <w:t xml:space="preserve">Pain Medicine </w:t>
      </w:r>
      <w:r w:rsidRPr="007D5F7B">
        <w:rPr>
          <w:bCs/>
          <w:sz w:val="18"/>
          <w:szCs w:val="18"/>
          <w:lang w:eastAsia="ja-JP"/>
        </w:rPr>
        <w:t xml:space="preserve">does not include any product promotional information in its </w:t>
      </w:r>
      <w:r w:rsidRPr="007D5F7B">
        <w:rPr>
          <w:rStyle w:val="field-content5"/>
          <w:sz w:val="18"/>
          <w:szCs w:val="18"/>
        </w:rPr>
        <w:t xml:space="preserve">educational materials that are used to support learning during a CME activity (copies of slides, handouts, abstracts, etc.). </w:t>
      </w:r>
    </w:p>
    <w:p w14:paraId="256F36A8" w14:textId="77777777" w:rsidR="009D0ACA" w:rsidRPr="007D5F7B" w:rsidRDefault="009D0ACA" w:rsidP="004F7BC2">
      <w:pPr>
        <w:numPr>
          <w:ilvl w:val="0"/>
          <w:numId w:val="11"/>
        </w:numPr>
        <w:autoSpaceDE w:val="0"/>
        <w:autoSpaceDN w:val="0"/>
        <w:adjustRightInd w:val="0"/>
        <w:ind w:left="360"/>
        <w:rPr>
          <w:spacing w:val="-3"/>
          <w:sz w:val="18"/>
          <w:szCs w:val="18"/>
        </w:rPr>
      </w:pPr>
      <w:r w:rsidRPr="007D5F7B">
        <w:rPr>
          <w:bCs/>
          <w:sz w:val="18"/>
          <w:szCs w:val="18"/>
          <w:lang w:eastAsia="ja-JP"/>
        </w:rPr>
        <w:t>Exceptions to this include:</w:t>
      </w:r>
    </w:p>
    <w:p w14:paraId="36908D45" w14:textId="02AFD643" w:rsidR="009D0ACA" w:rsidRPr="007D5F7B" w:rsidRDefault="009D0ACA" w:rsidP="00034091">
      <w:pPr>
        <w:numPr>
          <w:ilvl w:val="1"/>
          <w:numId w:val="12"/>
        </w:numPr>
        <w:autoSpaceDE w:val="0"/>
        <w:autoSpaceDN w:val="0"/>
        <w:adjustRightInd w:val="0"/>
        <w:rPr>
          <w:spacing w:val="-3"/>
          <w:sz w:val="18"/>
          <w:szCs w:val="18"/>
        </w:rPr>
      </w:pPr>
      <w:r>
        <w:rPr>
          <w:bCs/>
          <w:sz w:val="18"/>
          <w:szCs w:val="18"/>
          <w:lang w:eastAsia="ja-JP"/>
        </w:rPr>
        <w:t>T</w:t>
      </w:r>
      <w:r w:rsidRPr="007D5F7B">
        <w:rPr>
          <w:bCs/>
          <w:sz w:val="18"/>
          <w:szCs w:val="18"/>
          <w:lang w:eastAsia="ja-JP"/>
        </w:rPr>
        <w:t>he required commercial support disclosure (company name</w:t>
      </w:r>
      <w:r>
        <w:rPr>
          <w:bCs/>
          <w:sz w:val="18"/>
          <w:szCs w:val="18"/>
          <w:lang w:eastAsia="ja-JP"/>
        </w:rPr>
        <w:t xml:space="preserve"> only in text format</w:t>
      </w:r>
      <w:r w:rsidR="00034091">
        <w:rPr>
          <w:bCs/>
          <w:sz w:val="18"/>
          <w:szCs w:val="18"/>
          <w:lang w:eastAsia="ja-JP"/>
        </w:rPr>
        <w:t>;</w:t>
      </w:r>
      <w:r>
        <w:rPr>
          <w:bCs/>
          <w:sz w:val="18"/>
          <w:szCs w:val="18"/>
          <w:lang w:eastAsia="ja-JP"/>
        </w:rPr>
        <w:t xml:space="preserve"> no logos,</w:t>
      </w:r>
      <w:r w:rsidRPr="007D5F7B">
        <w:rPr>
          <w:bCs/>
          <w:sz w:val="18"/>
          <w:szCs w:val="18"/>
          <w:lang w:eastAsia="ja-JP"/>
        </w:rPr>
        <w:t xml:space="preserve"> trade names</w:t>
      </w:r>
      <w:r>
        <w:rPr>
          <w:bCs/>
          <w:sz w:val="18"/>
          <w:szCs w:val="18"/>
          <w:lang w:eastAsia="ja-JP"/>
        </w:rPr>
        <w:t>,</w:t>
      </w:r>
      <w:r w:rsidRPr="007D5F7B">
        <w:rPr>
          <w:bCs/>
          <w:sz w:val="18"/>
          <w:szCs w:val="18"/>
          <w:lang w:eastAsia="ja-JP"/>
        </w:rPr>
        <w:t xml:space="preserve"> or product group messages)</w:t>
      </w:r>
      <w:r w:rsidR="00034091">
        <w:rPr>
          <w:bCs/>
          <w:sz w:val="18"/>
          <w:szCs w:val="18"/>
          <w:lang w:eastAsia="ja-JP"/>
        </w:rPr>
        <w:t>.</w:t>
      </w:r>
    </w:p>
    <w:p w14:paraId="6288596B" w14:textId="24A5EEFD" w:rsidR="009D0ACA" w:rsidRPr="007D5F7B" w:rsidRDefault="009D0ACA" w:rsidP="00034091">
      <w:pPr>
        <w:numPr>
          <w:ilvl w:val="1"/>
          <w:numId w:val="12"/>
        </w:numPr>
        <w:autoSpaceDE w:val="0"/>
        <w:autoSpaceDN w:val="0"/>
        <w:adjustRightInd w:val="0"/>
        <w:rPr>
          <w:spacing w:val="-3"/>
          <w:sz w:val="18"/>
          <w:szCs w:val="18"/>
        </w:rPr>
      </w:pPr>
      <w:r>
        <w:rPr>
          <w:bCs/>
          <w:sz w:val="18"/>
          <w:szCs w:val="18"/>
          <w:lang w:eastAsia="ja-JP"/>
        </w:rPr>
        <w:t>L</w:t>
      </w:r>
      <w:r w:rsidRPr="007D5F7B">
        <w:rPr>
          <w:bCs/>
          <w:sz w:val="18"/>
          <w:szCs w:val="18"/>
          <w:lang w:eastAsia="ja-JP"/>
        </w:rPr>
        <w:t>ogistical information such as the time/location of industry</w:t>
      </w:r>
      <w:r w:rsidR="00034091">
        <w:rPr>
          <w:bCs/>
          <w:sz w:val="18"/>
          <w:szCs w:val="18"/>
          <w:lang w:eastAsia="ja-JP"/>
        </w:rPr>
        <w:t>-</w:t>
      </w:r>
      <w:r w:rsidRPr="007D5F7B">
        <w:rPr>
          <w:bCs/>
          <w:sz w:val="18"/>
          <w:szCs w:val="18"/>
          <w:lang w:eastAsia="ja-JP"/>
        </w:rPr>
        <w:t xml:space="preserve">organized </w:t>
      </w:r>
      <w:r w:rsidR="004D2369">
        <w:rPr>
          <w:bCs/>
          <w:sz w:val="18"/>
          <w:szCs w:val="18"/>
          <w:lang w:eastAsia="ja-JP"/>
        </w:rPr>
        <w:t>non-CME ancillary events</w:t>
      </w:r>
      <w:r w:rsidRPr="007D5F7B">
        <w:rPr>
          <w:bCs/>
          <w:sz w:val="18"/>
          <w:szCs w:val="18"/>
          <w:lang w:eastAsia="ja-JP"/>
        </w:rPr>
        <w:t>, exhibitor listing, etc.</w:t>
      </w:r>
    </w:p>
    <w:p w14:paraId="23DB5768" w14:textId="77777777" w:rsidR="009D0ACA" w:rsidRPr="007D5F7B" w:rsidRDefault="009D0ACA" w:rsidP="004F7BC2">
      <w:pPr>
        <w:numPr>
          <w:ilvl w:val="0"/>
          <w:numId w:val="12"/>
        </w:numPr>
        <w:autoSpaceDE w:val="0"/>
        <w:autoSpaceDN w:val="0"/>
        <w:adjustRightInd w:val="0"/>
        <w:rPr>
          <w:spacing w:val="-3"/>
          <w:sz w:val="18"/>
          <w:szCs w:val="18"/>
        </w:rPr>
      </w:pPr>
      <w:r w:rsidRPr="007D5F7B">
        <w:rPr>
          <w:spacing w:val="-3"/>
          <w:sz w:val="18"/>
          <w:szCs w:val="18"/>
        </w:rPr>
        <w:t xml:space="preserve">Promotional information is </w:t>
      </w:r>
      <w:r w:rsidRPr="007D5F7B">
        <w:rPr>
          <w:bCs/>
          <w:sz w:val="18"/>
          <w:szCs w:val="18"/>
          <w:lang w:eastAsia="ja-JP"/>
        </w:rPr>
        <w:t xml:space="preserve">only allowed in logistical support materials (printed program guide, </w:t>
      </w:r>
      <w:r>
        <w:rPr>
          <w:bCs/>
          <w:sz w:val="18"/>
          <w:szCs w:val="18"/>
          <w:lang w:eastAsia="ja-JP"/>
        </w:rPr>
        <w:t>t</w:t>
      </w:r>
      <w:r w:rsidRPr="007D5F7B">
        <w:rPr>
          <w:bCs/>
          <w:sz w:val="18"/>
          <w:szCs w:val="18"/>
          <w:lang w:eastAsia="ja-JP"/>
        </w:rPr>
        <w:t>ote</w:t>
      </w:r>
      <w:r>
        <w:rPr>
          <w:bCs/>
          <w:sz w:val="18"/>
          <w:szCs w:val="18"/>
          <w:lang w:eastAsia="ja-JP"/>
        </w:rPr>
        <w:t xml:space="preserve"> bag</w:t>
      </w:r>
      <w:r w:rsidRPr="007D5F7B">
        <w:rPr>
          <w:bCs/>
          <w:sz w:val="18"/>
          <w:szCs w:val="18"/>
          <w:lang w:eastAsia="ja-JP"/>
        </w:rPr>
        <w:t xml:space="preserve">, etc.). Promotional materials in the program guide will be grouped in a section in the back of the program. </w:t>
      </w:r>
      <w:r>
        <w:rPr>
          <w:bCs/>
          <w:sz w:val="18"/>
          <w:szCs w:val="18"/>
          <w:lang w:eastAsia="ja-JP"/>
        </w:rPr>
        <w:t xml:space="preserve">Advertisements will be allowed on the back cover. </w:t>
      </w:r>
      <w:r w:rsidRPr="007D5F7B">
        <w:rPr>
          <w:bCs/>
          <w:sz w:val="18"/>
          <w:szCs w:val="18"/>
          <w:lang w:eastAsia="ja-JP"/>
        </w:rPr>
        <w:t xml:space="preserve">All such materials must be distributed outside the educational meeting room. </w:t>
      </w:r>
    </w:p>
    <w:p w14:paraId="30B4FC16" w14:textId="77777777" w:rsidR="009D0ACA" w:rsidRPr="007D5F7B" w:rsidRDefault="009D0ACA" w:rsidP="009D0ACA">
      <w:pPr>
        <w:autoSpaceDE w:val="0"/>
        <w:autoSpaceDN w:val="0"/>
        <w:adjustRightInd w:val="0"/>
        <w:rPr>
          <w:spacing w:val="-3"/>
          <w:sz w:val="18"/>
          <w:szCs w:val="18"/>
        </w:rPr>
      </w:pPr>
    </w:p>
    <w:p w14:paraId="2A37A086" w14:textId="0CCE1EDA" w:rsidR="009D0ACA" w:rsidRPr="007D5F7B" w:rsidRDefault="009D0ACA" w:rsidP="002D4E55">
      <w:pPr>
        <w:numPr>
          <w:ilvl w:val="0"/>
          <w:numId w:val="8"/>
        </w:numPr>
        <w:rPr>
          <w:b/>
          <w:sz w:val="18"/>
          <w:szCs w:val="18"/>
        </w:rPr>
      </w:pPr>
      <w:r w:rsidRPr="007D5F7B">
        <w:rPr>
          <w:b/>
          <w:sz w:val="18"/>
          <w:szCs w:val="18"/>
        </w:rPr>
        <w:t xml:space="preserve">Non-CME </w:t>
      </w:r>
      <w:r w:rsidR="00034091">
        <w:rPr>
          <w:b/>
          <w:sz w:val="18"/>
          <w:szCs w:val="18"/>
        </w:rPr>
        <w:t>Ancillary Event</w:t>
      </w:r>
      <w:r w:rsidRPr="007D5F7B">
        <w:rPr>
          <w:b/>
          <w:sz w:val="18"/>
          <w:szCs w:val="18"/>
        </w:rPr>
        <w:t xml:space="preserve"> Guidelines</w:t>
      </w:r>
    </w:p>
    <w:p w14:paraId="331607ED" w14:textId="45EC93D3" w:rsidR="009D0ACA" w:rsidRPr="007D5F7B" w:rsidRDefault="009D0ACA" w:rsidP="004F7BC2">
      <w:pPr>
        <w:numPr>
          <w:ilvl w:val="0"/>
          <w:numId w:val="13"/>
        </w:numPr>
        <w:ind w:left="360"/>
        <w:rPr>
          <w:sz w:val="18"/>
          <w:szCs w:val="18"/>
        </w:rPr>
      </w:pPr>
      <w:r w:rsidRPr="007D5F7B">
        <w:rPr>
          <w:sz w:val="18"/>
          <w:szCs w:val="18"/>
          <w:lang w:eastAsia="ja-JP"/>
        </w:rPr>
        <w:t xml:space="preserve">Any educational session directly influenced, organized, or financed by </w:t>
      </w:r>
      <w:r w:rsidR="00ED015E">
        <w:rPr>
          <w:sz w:val="18"/>
          <w:szCs w:val="18"/>
          <w:lang w:eastAsia="ja-JP"/>
        </w:rPr>
        <w:t>an ineligible company</w:t>
      </w:r>
      <w:r w:rsidR="00ED015E" w:rsidRPr="007D5F7B">
        <w:rPr>
          <w:sz w:val="18"/>
          <w:szCs w:val="18"/>
          <w:lang w:eastAsia="ja-JP"/>
        </w:rPr>
        <w:t xml:space="preserve"> </w:t>
      </w:r>
      <w:r w:rsidRPr="007D5F7B">
        <w:rPr>
          <w:sz w:val="18"/>
          <w:szCs w:val="18"/>
          <w:lang w:eastAsia="ja-JP"/>
        </w:rPr>
        <w:t xml:space="preserve">will be considered an </w:t>
      </w:r>
      <w:r w:rsidR="00034091" w:rsidRPr="007D5F7B">
        <w:rPr>
          <w:sz w:val="18"/>
          <w:szCs w:val="18"/>
          <w:lang w:eastAsia="ja-JP"/>
        </w:rPr>
        <w:t>industry</w:t>
      </w:r>
      <w:r w:rsidR="00034091">
        <w:rPr>
          <w:sz w:val="18"/>
          <w:szCs w:val="18"/>
          <w:lang w:eastAsia="ja-JP"/>
        </w:rPr>
        <w:t>-</w:t>
      </w:r>
      <w:r w:rsidRPr="007D5F7B">
        <w:rPr>
          <w:sz w:val="18"/>
          <w:szCs w:val="18"/>
          <w:lang w:eastAsia="ja-JP"/>
        </w:rPr>
        <w:t xml:space="preserve">organized Non-CME </w:t>
      </w:r>
      <w:r w:rsidR="00034091">
        <w:rPr>
          <w:sz w:val="18"/>
          <w:szCs w:val="18"/>
          <w:lang w:eastAsia="ja-JP"/>
        </w:rPr>
        <w:t>Ancillary Event</w:t>
      </w:r>
      <w:r w:rsidRPr="007D5F7B">
        <w:rPr>
          <w:sz w:val="18"/>
          <w:szCs w:val="18"/>
          <w:lang w:eastAsia="ja-JP"/>
        </w:rPr>
        <w:t>.</w:t>
      </w:r>
    </w:p>
    <w:p w14:paraId="6F3AE15E" w14:textId="5A5FAEFA" w:rsidR="009D0ACA" w:rsidRPr="007D5F7B" w:rsidRDefault="009D0ACA" w:rsidP="004F7BC2">
      <w:pPr>
        <w:numPr>
          <w:ilvl w:val="0"/>
          <w:numId w:val="13"/>
        </w:numPr>
        <w:ind w:left="360"/>
        <w:rPr>
          <w:sz w:val="18"/>
          <w:szCs w:val="18"/>
        </w:rPr>
      </w:pPr>
      <w:r w:rsidRPr="007D5F7B">
        <w:rPr>
          <w:sz w:val="18"/>
          <w:szCs w:val="18"/>
          <w:lang w:eastAsia="ja-JP"/>
        </w:rPr>
        <w:t xml:space="preserve">Separate times for </w:t>
      </w:r>
      <w:r w:rsidR="00034091">
        <w:rPr>
          <w:sz w:val="18"/>
          <w:szCs w:val="18"/>
          <w:lang w:eastAsia="ja-JP"/>
        </w:rPr>
        <w:t xml:space="preserve">ancillary events </w:t>
      </w:r>
      <w:r w:rsidRPr="007D5F7B">
        <w:rPr>
          <w:sz w:val="18"/>
          <w:szCs w:val="18"/>
          <w:lang w:eastAsia="ja-JP"/>
        </w:rPr>
        <w:t>(not competing with educational sessions) will be made available.</w:t>
      </w:r>
    </w:p>
    <w:p w14:paraId="40E4BDEC" w14:textId="609FF312" w:rsidR="009D0ACA" w:rsidRPr="007D5F7B" w:rsidRDefault="009D0ACA" w:rsidP="004F7BC2">
      <w:pPr>
        <w:numPr>
          <w:ilvl w:val="0"/>
          <w:numId w:val="13"/>
        </w:numPr>
        <w:ind w:left="360"/>
        <w:rPr>
          <w:sz w:val="18"/>
          <w:szCs w:val="18"/>
        </w:rPr>
      </w:pPr>
      <w:r w:rsidRPr="007D5F7B">
        <w:rPr>
          <w:sz w:val="18"/>
          <w:szCs w:val="18"/>
          <w:lang w:eastAsia="ja-JP"/>
        </w:rPr>
        <w:t xml:space="preserve">These promotional activities will not offer CME credit by ASRA </w:t>
      </w:r>
      <w:r w:rsidR="00ED015E">
        <w:rPr>
          <w:sz w:val="18"/>
          <w:szCs w:val="18"/>
          <w:lang w:eastAsia="ja-JP"/>
        </w:rPr>
        <w:t xml:space="preserve">Pain Medicine </w:t>
      </w:r>
      <w:r w:rsidRPr="007D5F7B">
        <w:rPr>
          <w:sz w:val="18"/>
          <w:szCs w:val="18"/>
          <w:lang w:eastAsia="ja-JP"/>
        </w:rPr>
        <w:t>or another provider.</w:t>
      </w:r>
    </w:p>
    <w:p w14:paraId="2256DA6E" w14:textId="5388B156" w:rsidR="009D0ACA" w:rsidRPr="007D5F7B" w:rsidRDefault="009D0ACA" w:rsidP="004F7BC2">
      <w:pPr>
        <w:numPr>
          <w:ilvl w:val="0"/>
          <w:numId w:val="13"/>
        </w:numPr>
        <w:ind w:left="360"/>
        <w:rPr>
          <w:sz w:val="18"/>
          <w:szCs w:val="18"/>
        </w:rPr>
      </w:pPr>
      <w:r w:rsidRPr="007D5F7B">
        <w:rPr>
          <w:sz w:val="18"/>
          <w:szCs w:val="18"/>
          <w:lang w:eastAsia="ja-JP"/>
        </w:rPr>
        <w:t xml:space="preserve">The content outline and speaker selection must be submitted to ASRA </w:t>
      </w:r>
      <w:r w:rsidR="00ED015E">
        <w:rPr>
          <w:sz w:val="18"/>
          <w:szCs w:val="18"/>
          <w:lang w:eastAsia="ja-JP"/>
        </w:rPr>
        <w:t xml:space="preserve">Pain Medicine </w:t>
      </w:r>
      <w:r w:rsidRPr="007D5F7B">
        <w:rPr>
          <w:sz w:val="18"/>
          <w:szCs w:val="18"/>
          <w:lang w:eastAsia="ja-JP"/>
        </w:rPr>
        <w:t>for approval by the Scientific/Education Planning Committee two months prior to the activity.</w:t>
      </w:r>
    </w:p>
    <w:p w14:paraId="790683AD" w14:textId="6F086961" w:rsidR="009D0ACA" w:rsidRPr="007D5F7B" w:rsidRDefault="009D0ACA" w:rsidP="004F7BC2">
      <w:pPr>
        <w:numPr>
          <w:ilvl w:val="0"/>
          <w:numId w:val="13"/>
        </w:numPr>
        <w:ind w:left="360"/>
        <w:rPr>
          <w:sz w:val="18"/>
          <w:szCs w:val="18"/>
        </w:rPr>
      </w:pPr>
      <w:r w:rsidRPr="007D5F7B">
        <w:rPr>
          <w:bCs/>
          <w:sz w:val="18"/>
          <w:szCs w:val="18"/>
          <w:lang w:eastAsia="ja-JP"/>
        </w:rPr>
        <w:t>Industry supported promotional sessions will be clearly indicated in the meeting timetable/program as: “</w:t>
      </w:r>
      <w:proofErr w:type="gramStart"/>
      <w:r w:rsidRPr="007D5F7B">
        <w:rPr>
          <w:bCs/>
          <w:sz w:val="18"/>
          <w:szCs w:val="18"/>
          <w:lang w:eastAsia="ja-JP"/>
        </w:rPr>
        <w:t>Non-CME</w:t>
      </w:r>
      <w:proofErr w:type="gramEnd"/>
      <w:r w:rsidRPr="007D5F7B">
        <w:rPr>
          <w:bCs/>
          <w:sz w:val="18"/>
          <w:szCs w:val="18"/>
          <w:lang w:eastAsia="ja-JP"/>
        </w:rPr>
        <w:t xml:space="preserve"> </w:t>
      </w:r>
      <w:r w:rsidR="00034091">
        <w:rPr>
          <w:bCs/>
          <w:sz w:val="18"/>
          <w:szCs w:val="18"/>
          <w:lang w:eastAsia="ja-JP"/>
        </w:rPr>
        <w:t xml:space="preserve">ancillary event </w:t>
      </w:r>
      <w:r w:rsidRPr="007D5F7B">
        <w:rPr>
          <w:bCs/>
          <w:sz w:val="18"/>
          <w:szCs w:val="18"/>
          <w:lang w:eastAsia="ja-JP"/>
        </w:rPr>
        <w:t>organized by…” (the term “sponsored” is not to be used).</w:t>
      </w:r>
    </w:p>
    <w:p w14:paraId="09F67C43" w14:textId="77777777" w:rsidR="009D0ACA" w:rsidRPr="007D5F7B" w:rsidRDefault="009D0ACA" w:rsidP="004F7BC2">
      <w:pPr>
        <w:numPr>
          <w:ilvl w:val="0"/>
          <w:numId w:val="13"/>
        </w:numPr>
        <w:ind w:left="360"/>
        <w:rPr>
          <w:sz w:val="18"/>
          <w:szCs w:val="18"/>
        </w:rPr>
      </w:pPr>
      <w:r w:rsidRPr="007D5F7B">
        <w:rPr>
          <w:sz w:val="18"/>
          <w:szCs w:val="18"/>
        </w:rPr>
        <w:t>Promotional/marketing materials created by the company must include:</w:t>
      </w:r>
    </w:p>
    <w:p w14:paraId="5009C5EB" w14:textId="30BFA334" w:rsidR="009D0ACA" w:rsidRPr="007D5F7B" w:rsidRDefault="009D0ACA" w:rsidP="00596068">
      <w:pPr>
        <w:numPr>
          <w:ilvl w:val="1"/>
          <w:numId w:val="7"/>
        </w:numPr>
        <w:ind w:left="1170" w:hanging="401"/>
        <w:jc w:val="both"/>
        <w:rPr>
          <w:sz w:val="18"/>
          <w:szCs w:val="18"/>
        </w:rPr>
      </w:pPr>
      <w:r w:rsidRPr="007D5F7B">
        <w:rPr>
          <w:sz w:val="18"/>
          <w:szCs w:val="18"/>
        </w:rPr>
        <w:t xml:space="preserve">“Non-CME </w:t>
      </w:r>
      <w:r w:rsidR="00596068">
        <w:rPr>
          <w:sz w:val="18"/>
          <w:szCs w:val="18"/>
        </w:rPr>
        <w:t>Ancillary Event</w:t>
      </w:r>
      <w:r w:rsidRPr="007D5F7B">
        <w:rPr>
          <w:sz w:val="18"/>
          <w:szCs w:val="18"/>
        </w:rPr>
        <w:t xml:space="preserve"> organized by: Company ABC”</w:t>
      </w:r>
    </w:p>
    <w:p w14:paraId="21FAAF53" w14:textId="1924A1A4" w:rsidR="009D0ACA" w:rsidRPr="007D5F7B" w:rsidRDefault="009D0ACA" w:rsidP="00596068">
      <w:pPr>
        <w:numPr>
          <w:ilvl w:val="1"/>
          <w:numId w:val="7"/>
        </w:numPr>
        <w:ind w:left="1170" w:hanging="401"/>
        <w:rPr>
          <w:sz w:val="18"/>
          <w:szCs w:val="18"/>
        </w:rPr>
      </w:pPr>
      <w:r w:rsidRPr="007D5F7B">
        <w:rPr>
          <w:sz w:val="18"/>
          <w:szCs w:val="18"/>
        </w:rPr>
        <w:t>“The American Society of Regional Anesthesia and Pain Medicine (ASRA</w:t>
      </w:r>
      <w:r w:rsidR="00ED015E">
        <w:rPr>
          <w:sz w:val="18"/>
          <w:szCs w:val="18"/>
        </w:rPr>
        <w:t xml:space="preserve"> Pain Medicine</w:t>
      </w:r>
      <w:r w:rsidRPr="007D5F7B">
        <w:rPr>
          <w:sz w:val="18"/>
          <w:szCs w:val="18"/>
        </w:rPr>
        <w:t xml:space="preserve">) has provided space for this non-CME </w:t>
      </w:r>
      <w:r w:rsidR="00596068">
        <w:rPr>
          <w:sz w:val="18"/>
          <w:szCs w:val="18"/>
        </w:rPr>
        <w:t>ancillary event</w:t>
      </w:r>
      <w:r w:rsidRPr="007D5F7B">
        <w:rPr>
          <w:sz w:val="18"/>
          <w:szCs w:val="18"/>
        </w:rPr>
        <w:t>. The program was independently produced, not subject to review by ASRA</w:t>
      </w:r>
      <w:r w:rsidR="00ED015E">
        <w:rPr>
          <w:sz w:val="18"/>
          <w:szCs w:val="18"/>
        </w:rPr>
        <w:t xml:space="preserve"> Pain Medicine</w:t>
      </w:r>
      <w:r w:rsidRPr="007D5F7B">
        <w:rPr>
          <w:sz w:val="18"/>
          <w:szCs w:val="18"/>
        </w:rPr>
        <w:t>, and is not part of the scientific/educational program offered by ASRA</w:t>
      </w:r>
      <w:r w:rsidR="00ED015E">
        <w:rPr>
          <w:sz w:val="18"/>
          <w:szCs w:val="18"/>
        </w:rPr>
        <w:t xml:space="preserve"> Pain Medicine</w:t>
      </w:r>
      <w:r w:rsidRPr="007D5F7B">
        <w:rPr>
          <w:sz w:val="18"/>
          <w:szCs w:val="18"/>
        </w:rPr>
        <w:t>.”</w:t>
      </w:r>
    </w:p>
    <w:p w14:paraId="2924CCA9" w14:textId="77777777" w:rsidR="009D0ACA" w:rsidRPr="007D5F7B" w:rsidRDefault="009D0ACA" w:rsidP="009D0ACA">
      <w:pPr>
        <w:autoSpaceDE w:val="0"/>
        <w:autoSpaceDN w:val="0"/>
        <w:adjustRightInd w:val="0"/>
        <w:rPr>
          <w:sz w:val="18"/>
          <w:szCs w:val="18"/>
        </w:rPr>
      </w:pPr>
    </w:p>
    <w:p w14:paraId="03CC2A24" w14:textId="77777777" w:rsidR="009D0ACA" w:rsidRPr="006E1598" w:rsidRDefault="009D0ACA" w:rsidP="002D4E55">
      <w:pPr>
        <w:numPr>
          <w:ilvl w:val="0"/>
          <w:numId w:val="8"/>
        </w:numPr>
        <w:autoSpaceDE w:val="0"/>
        <w:autoSpaceDN w:val="0"/>
        <w:adjustRightInd w:val="0"/>
        <w:rPr>
          <w:b/>
          <w:sz w:val="18"/>
          <w:szCs w:val="18"/>
          <w:lang w:eastAsia="ja-JP"/>
        </w:rPr>
      </w:pPr>
      <w:r w:rsidRPr="006E1598">
        <w:rPr>
          <w:b/>
          <w:sz w:val="18"/>
          <w:szCs w:val="18"/>
          <w:lang w:eastAsia="ja-JP"/>
        </w:rPr>
        <w:t xml:space="preserve">Company Representative </w:t>
      </w:r>
      <w:r>
        <w:rPr>
          <w:b/>
          <w:sz w:val="18"/>
          <w:szCs w:val="18"/>
          <w:lang w:eastAsia="ja-JP"/>
        </w:rPr>
        <w:t>Participation</w:t>
      </w:r>
      <w:r w:rsidRPr="006E1598">
        <w:rPr>
          <w:b/>
          <w:sz w:val="18"/>
          <w:szCs w:val="18"/>
          <w:lang w:eastAsia="ja-JP"/>
        </w:rPr>
        <w:t xml:space="preserve"> Guidelines</w:t>
      </w:r>
    </w:p>
    <w:p w14:paraId="4A796A23" w14:textId="77777777" w:rsidR="009D0ACA" w:rsidRPr="006E1598" w:rsidRDefault="009D0ACA" w:rsidP="004F7BC2">
      <w:pPr>
        <w:widowControl w:val="0"/>
        <w:numPr>
          <w:ilvl w:val="0"/>
          <w:numId w:val="14"/>
        </w:numPr>
        <w:autoSpaceDE w:val="0"/>
        <w:autoSpaceDN w:val="0"/>
        <w:adjustRightInd w:val="0"/>
        <w:ind w:left="360"/>
        <w:rPr>
          <w:sz w:val="18"/>
          <w:szCs w:val="18"/>
          <w:lang w:eastAsia="ja-JP"/>
        </w:rPr>
      </w:pPr>
      <w:r w:rsidRPr="006E1598">
        <w:rPr>
          <w:sz w:val="18"/>
          <w:szCs w:val="18"/>
        </w:rPr>
        <w:t>Commercial Support (grants and/or in-kind):</w:t>
      </w:r>
    </w:p>
    <w:p w14:paraId="561F859F" w14:textId="6D41CBFD" w:rsidR="009D0ACA" w:rsidRPr="006F7F99" w:rsidRDefault="009D0ACA" w:rsidP="006F7F99">
      <w:pPr>
        <w:widowControl w:val="0"/>
        <w:numPr>
          <w:ilvl w:val="1"/>
          <w:numId w:val="14"/>
        </w:numPr>
        <w:autoSpaceDE w:val="0"/>
        <w:autoSpaceDN w:val="0"/>
        <w:adjustRightInd w:val="0"/>
        <w:ind w:left="1080"/>
        <w:rPr>
          <w:sz w:val="18"/>
          <w:szCs w:val="18"/>
          <w:lang w:eastAsia="ja-JP"/>
        </w:rPr>
      </w:pPr>
      <w:r w:rsidRPr="006E1598">
        <w:rPr>
          <w:sz w:val="18"/>
          <w:szCs w:val="18"/>
        </w:rPr>
        <w:t xml:space="preserve">Complimentary registrations will not be provided to those </w:t>
      </w:r>
      <w:r w:rsidR="00ED015E">
        <w:rPr>
          <w:sz w:val="18"/>
          <w:szCs w:val="18"/>
        </w:rPr>
        <w:t xml:space="preserve">ineligible </w:t>
      </w:r>
      <w:r w:rsidRPr="006E1598">
        <w:rPr>
          <w:sz w:val="18"/>
          <w:szCs w:val="18"/>
        </w:rPr>
        <w:t xml:space="preserve">companies providing commercial support; a separate and distinct fee must be paid for attendance during the activity for which commercial support was provided. </w:t>
      </w:r>
    </w:p>
    <w:p w14:paraId="12561A8D" w14:textId="77777777" w:rsidR="009D0ACA" w:rsidRPr="006E1598" w:rsidRDefault="009D0ACA" w:rsidP="004F7BC2">
      <w:pPr>
        <w:widowControl w:val="0"/>
        <w:numPr>
          <w:ilvl w:val="0"/>
          <w:numId w:val="14"/>
        </w:numPr>
        <w:autoSpaceDE w:val="0"/>
        <w:autoSpaceDN w:val="0"/>
        <w:adjustRightInd w:val="0"/>
        <w:ind w:left="360"/>
        <w:rPr>
          <w:sz w:val="18"/>
          <w:szCs w:val="18"/>
          <w:lang w:eastAsia="ja-JP"/>
        </w:rPr>
      </w:pPr>
      <w:r w:rsidRPr="006E1598">
        <w:rPr>
          <w:sz w:val="18"/>
          <w:szCs w:val="18"/>
          <w:lang w:eastAsia="ja-JP"/>
        </w:rPr>
        <w:t xml:space="preserve">Exhibition and Promotional Support: </w:t>
      </w:r>
    </w:p>
    <w:p w14:paraId="0C455B62" w14:textId="77777777" w:rsidR="009D0ACA" w:rsidRPr="006E1598" w:rsidRDefault="009D0ACA" w:rsidP="004F7BC2">
      <w:pPr>
        <w:widowControl w:val="0"/>
        <w:numPr>
          <w:ilvl w:val="1"/>
          <w:numId w:val="14"/>
        </w:numPr>
        <w:autoSpaceDE w:val="0"/>
        <w:autoSpaceDN w:val="0"/>
        <w:adjustRightInd w:val="0"/>
        <w:ind w:left="1080"/>
        <w:rPr>
          <w:rFonts w:eastAsia="Calibri"/>
          <w:sz w:val="18"/>
          <w:szCs w:val="18"/>
          <w:lang w:eastAsia="ja-JP"/>
        </w:rPr>
      </w:pPr>
      <w:r w:rsidRPr="006E1598">
        <w:rPr>
          <w:sz w:val="18"/>
          <w:szCs w:val="18"/>
          <w:lang w:eastAsia="ja-JP"/>
        </w:rPr>
        <w:t xml:space="preserve">Companies paying the exhibit fee will receive a pre-determined number of exhibitor badges, depending on the size of booth space purchased. </w:t>
      </w:r>
    </w:p>
    <w:p w14:paraId="5BCF6F01" w14:textId="1CE65749" w:rsidR="009D0ACA" w:rsidRPr="006E1598" w:rsidRDefault="009D0ACA" w:rsidP="004F7BC2">
      <w:pPr>
        <w:widowControl w:val="0"/>
        <w:numPr>
          <w:ilvl w:val="1"/>
          <w:numId w:val="14"/>
        </w:numPr>
        <w:autoSpaceDE w:val="0"/>
        <w:autoSpaceDN w:val="0"/>
        <w:adjustRightInd w:val="0"/>
        <w:ind w:left="1080"/>
        <w:rPr>
          <w:sz w:val="18"/>
          <w:szCs w:val="18"/>
          <w:lang w:eastAsia="ja-JP"/>
        </w:rPr>
      </w:pPr>
      <w:r w:rsidRPr="006E1598">
        <w:rPr>
          <w:sz w:val="18"/>
          <w:szCs w:val="18"/>
          <w:lang w:eastAsia="ja-JP"/>
        </w:rPr>
        <w:t>Exhibitors are allowed to attend the main meeting sessions at no charge (priority seating to paid participants); standard registration fees must be paid for participation in PBLDs, workshops, special events, etc.</w:t>
      </w:r>
    </w:p>
    <w:p w14:paraId="3FE2603D" w14:textId="4ECF1B45" w:rsidR="009D0ACA" w:rsidRPr="006E1598" w:rsidRDefault="009D0ACA" w:rsidP="004F7BC2">
      <w:pPr>
        <w:widowControl w:val="0"/>
        <w:numPr>
          <w:ilvl w:val="1"/>
          <w:numId w:val="14"/>
        </w:numPr>
        <w:autoSpaceDE w:val="0"/>
        <w:autoSpaceDN w:val="0"/>
        <w:adjustRightInd w:val="0"/>
        <w:ind w:left="1080"/>
        <w:rPr>
          <w:sz w:val="18"/>
          <w:szCs w:val="18"/>
          <w:lang w:eastAsia="ja-JP"/>
        </w:rPr>
      </w:pPr>
      <w:proofErr w:type="gramStart"/>
      <w:r w:rsidRPr="006E1598">
        <w:rPr>
          <w:sz w:val="18"/>
          <w:szCs w:val="18"/>
          <w:lang w:eastAsia="ja-JP"/>
        </w:rPr>
        <w:t>In order to</w:t>
      </w:r>
      <w:proofErr w:type="gramEnd"/>
      <w:r w:rsidRPr="006E1598">
        <w:rPr>
          <w:sz w:val="18"/>
          <w:szCs w:val="18"/>
          <w:lang w:eastAsia="ja-JP"/>
        </w:rPr>
        <w:t xml:space="preserve"> receive CME credit, the </w:t>
      </w:r>
      <w:r w:rsidR="00ED015E">
        <w:rPr>
          <w:sz w:val="18"/>
          <w:szCs w:val="18"/>
          <w:lang w:eastAsia="ja-JP"/>
        </w:rPr>
        <w:t xml:space="preserve">ineligible </w:t>
      </w:r>
      <w:r w:rsidRPr="006E1598">
        <w:rPr>
          <w:sz w:val="18"/>
          <w:szCs w:val="18"/>
          <w:lang w:eastAsia="ja-JP"/>
        </w:rPr>
        <w:t>company representative must register as a learner and pay the appropriate fees.</w:t>
      </w:r>
    </w:p>
    <w:p w14:paraId="6A92ED0F" w14:textId="77777777" w:rsidR="009D0ACA" w:rsidRPr="006E1598" w:rsidRDefault="009D0ACA" w:rsidP="004F7BC2">
      <w:pPr>
        <w:widowControl w:val="0"/>
        <w:numPr>
          <w:ilvl w:val="1"/>
          <w:numId w:val="14"/>
        </w:numPr>
        <w:autoSpaceDE w:val="0"/>
        <w:autoSpaceDN w:val="0"/>
        <w:adjustRightInd w:val="0"/>
        <w:ind w:left="1080"/>
        <w:rPr>
          <w:sz w:val="18"/>
          <w:szCs w:val="18"/>
          <w:lang w:eastAsia="ja-JP"/>
        </w:rPr>
      </w:pPr>
      <w:r w:rsidRPr="006E1598">
        <w:rPr>
          <w:bCs/>
          <w:sz w:val="18"/>
          <w:szCs w:val="18"/>
        </w:rPr>
        <w:t>Absolutely no promotional activities or conversations will be permitted in the educational rooms immediately prior to, during, or after a CME session.</w:t>
      </w:r>
    </w:p>
    <w:p w14:paraId="219D3DAE" w14:textId="77777777" w:rsidR="009D0ACA" w:rsidRPr="006E1598" w:rsidRDefault="009D0ACA" w:rsidP="004F7BC2">
      <w:pPr>
        <w:widowControl w:val="0"/>
        <w:numPr>
          <w:ilvl w:val="0"/>
          <w:numId w:val="14"/>
        </w:numPr>
        <w:autoSpaceDE w:val="0"/>
        <w:autoSpaceDN w:val="0"/>
        <w:adjustRightInd w:val="0"/>
        <w:ind w:left="360"/>
        <w:rPr>
          <w:sz w:val="18"/>
          <w:szCs w:val="18"/>
          <w:lang w:eastAsia="ja-JP"/>
        </w:rPr>
      </w:pPr>
      <w:r w:rsidRPr="006E1598">
        <w:rPr>
          <w:sz w:val="18"/>
          <w:szCs w:val="18"/>
          <w:lang w:eastAsia="ja-JP"/>
        </w:rPr>
        <w:t>In-Kind Technical Support:</w:t>
      </w:r>
    </w:p>
    <w:p w14:paraId="2853FEE6" w14:textId="1FEFCDE3" w:rsidR="009D0ACA" w:rsidRPr="006E1598" w:rsidRDefault="009D0ACA" w:rsidP="004F7BC2">
      <w:pPr>
        <w:widowControl w:val="0"/>
        <w:numPr>
          <w:ilvl w:val="1"/>
          <w:numId w:val="14"/>
        </w:numPr>
        <w:autoSpaceDE w:val="0"/>
        <w:autoSpaceDN w:val="0"/>
        <w:adjustRightInd w:val="0"/>
        <w:ind w:left="1080"/>
        <w:rPr>
          <w:sz w:val="18"/>
          <w:szCs w:val="18"/>
          <w:lang w:eastAsia="ja-JP"/>
        </w:rPr>
      </w:pPr>
      <w:r w:rsidRPr="006E1598">
        <w:rPr>
          <w:sz w:val="18"/>
          <w:szCs w:val="18"/>
        </w:rPr>
        <w:t xml:space="preserve">In-kind support is sought from multiple </w:t>
      </w:r>
      <w:r w:rsidR="00ED3389">
        <w:rPr>
          <w:sz w:val="18"/>
          <w:szCs w:val="18"/>
        </w:rPr>
        <w:t xml:space="preserve">ineligible </w:t>
      </w:r>
      <w:r w:rsidRPr="006E1598">
        <w:rPr>
          <w:sz w:val="18"/>
          <w:szCs w:val="18"/>
        </w:rPr>
        <w:t xml:space="preserve">companies, except when other equal but competing products or services are not available, therefore representatives from multiple </w:t>
      </w:r>
      <w:r w:rsidR="00ED3389">
        <w:rPr>
          <w:sz w:val="18"/>
          <w:szCs w:val="18"/>
        </w:rPr>
        <w:t xml:space="preserve">ineligible </w:t>
      </w:r>
      <w:r w:rsidRPr="006E1598">
        <w:rPr>
          <w:sz w:val="18"/>
          <w:szCs w:val="18"/>
        </w:rPr>
        <w:t>companies will participate.</w:t>
      </w:r>
    </w:p>
    <w:p w14:paraId="39668A5B" w14:textId="77777777" w:rsidR="009D0ACA" w:rsidRPr="006E1598" w:rsidRDefault="009D0ACA" w:rsidP="004F7BC2">
      <w:pPr>
        <w:widowControl w:val="0"/>
        <w:numPr>
          <w:ilvl w:val="1"/>
          <w:numId w:val="14"/>
        </w:numPr>
        <w:autoSpaceDE w:val="0"/>
        <w:autoSpaceDN w:val="0"/>
        <w:adjustRightInd w:val="0"/>
        <w:ind w:left="1080"/>
        <w:rPr>
          <w:sz w:val="18"/>
          <w:szCs w:val="18"/>
          <w:lang w:eastAsia="ja-JP"/>
        </w:rPr>
      </w:pPr>
      <w:r w:rsidRPr="006E1598">
        <w:rPr>
          <w:sz w:val="18"/>
          <w:szCs w:val="18"/>
          <w:lang w:eastAsia="ja-JP"/>
        </w:rPr>
        <w:t>A limited number of technical support badges will be provided for those companies providing support in-kind, requiring representatives to demonstrate</w:t>
      </w:r>
      <w:r w:rsidRPr="006E1598">
        <w:rPr>
          <w:sz w:val="18"/>
          <w:szCs w:val="18"/>
        </w:rPr>
        <w:t xml:space="preserve"> the operational aspects or ensure proper functioning of a device. </w:t>
      </w:r>
    </w:p>
    <w:p w14:paraId="2DD6A5DE" w14:textId="7B89D87F" w:rsidR="009D0ACA" w:rsidRPr="006E1598" w:rsidRDefault="009D0ACA" w:rsidP="004F7BC2">
      <w:pPr>
        <w:widowControl w:val="0"/>
        <w:numPr>
          <w:ilvl w:val="1"/>
          <w:numId w:val="14"/>
        </w:numPr>
        <w:autoSpaceDE w:val="0"/>
        <w:autoSpaceDN w:val="0"/>
        <w:adjustRightInd w:val="0"/>
        <w:ind w:left="1080"/>
        <w:rPr>
          <w:sz w:val="18"/>
          <w:szCs w:val="18"/>
          <w:lang w:eastAsia="ja-JP"/>
        </w:rPr>
      </w:pPr>
      <w:r w:rsidRPr="006E1598">
        <w:rPr>
          <w:sz w:val="18"/>
          <w:szCs w:val="18"/>
        </w:rPr>
        <w:t xml:space="preserve">Participation is managed in strict compliance with the ACCME’s Accreditation Criteria and Standards for </w:t>
      </w:r>
      <w:r w:rsidR="00ED3389">
        <w:rPr>
          <w:sz w:val="18"/>
          <w:szCs w:val="18"/>
        </w:rPr>
        <w:t>Integrity and Independence</w:t>
      </w:r>
      <w:r w:rsidRPr="006E1598">
        <w:rPr>
          <w:sz w:val="18"/>
          <w:szCs w:val="18"/>
        </w:rPr>
        <w:t>.</w:t>
      </w:r>
    </w:p>
    <w:p w14:paraId="1EA60334" w14:textId="14167DCA" w:rsidR="009D0ACA" w:rsidRPr="006E1598" w:rsidRDefault="009D0ACA" w:rsidP="00596068">
      <w:pPr>
        <w:numPr>
          <w:ilvl w:val="2"/>
          <w:numId w:val="14"/>
        </w:numPr>
        <w:ind w:left="1727" w:hanging="288"/>
        <w:rPr>
          <w:bCs/>
          <w:sz w:val="18"/>
          <w:szCs w:val="18"/>
        </w:rPr>
      </w:pPr>
      <w:r w:rsidRPr="006E1598">
        <w:rPr>
          <w:bCs/>
          <w:sz w:val="18"/>
          <w:szCs w:val="18"/>
        </w:rPr>
        <w:t>ASRA</w:t>
      </w:r>
      <w:r w:rsidR="00ED3389">
        <w:rPr>
          <w:bCs/>
          <w:sz w:val="18"/>
          <w:szCs w:val="18"/>
        </w:rPr>
        <w:t xml:space="preserve"> Pain Medicine</w:t>
      </w:r>
      <w:r w:rsidRPr="006E1598">
        <w:rPr>
          <w:bCs/>
          <w:sz w:val="18"/>
          <w:szCs w:val="18"/>
        </w:rPr>
        <w:t xml:space="preserve"> is responsible for all decisions regarding the educational elements (planning, content, faculty selection, presentation, evaluation, etc.). Industry representatives in no way influence any portion of the CME activity; including how the in-kind support will be used or allocated to the educational sessions. </w:t>
      </w:r>
    </w:p>
    <w:p w14:paraId="61D5954A" w14:textId="77777777" w:rsidR="009D0ACA" w:rsidRPr="006E1598" w:rsidRDefault="009D0ACA" w:rsidP="00596068">
      <w:pPr>
        <w:numPr>
          <w:ilvl w:val="2"/>
          <w:numId w:val="14"/>
        </w:numPr>
        <w:ind w:left="1727"/>
        <w:rPr>
          <w:bCs/>
          <w:sz w:val="18"/>
          <w:szCs w:val="18"/>
        </w:rPr>
      </w:pPr>
      <w:r w:rsidRPr="006E1598">
        <w:rPr>
          <w:bCs/>
          <w:sz w:val="18"/>
          <w:szCs w:val="18"/>
        </w:rPr>
        <w:t>Industry employees shall be easily identifiable by their company and meeting badges.</w:t>
      </w:r>
    </w:p>
    <w:p w14:paraId="59CD28F3" w14:textId="77777777" w:rsidR="009D0ACA" w:rsidRPr="006E1598" w:rsidRDefault="009D0ACA" w:rsidP="00596068">
      <w:pPr>
        <w:numPr>
          <w:ilvl w:val="2"/>
          <w:numId w:val="14"/>
        </w:numPr>
        <w:ind w:left="1727"/>
        <w:rPr>
          <w:bCs/>
          <w:sz w:val="18"/>
          <w:szCs w:val="18"/>
        </w:rPr>
      </w:pPr>
      <w:r w:rsidRPr="006E1598">
        <w:rPr>
          <w:sz w:val="18"/>
          <w:szCs w:val="18"/>
        </w:rPr>
        <w:lastRenderedPageBreak/>
        <w:t>The industry representative shall only contribute</w:t>
      </w:r>
      <w:r w:rsidRPr="006E1598">
        <w:rPr>
          <w:rStyle w:val="Strong"/>
          <w:sz w:val="18"/>
          <w:szCs w:val="18"/>
        </w:rPr>
        <w:t xml:space="preserve"> technical information about the use of the equipment</w:t>
      </w:r>
      <w:r w:rsidRPr="006E1598">
        <w:rPr>
          <w:sz w:val="18"/>
          <w:szCs w:val="18"/>
        </w:rPr>
        <w:t>.</w:t>
      </w:r>
    </w:p>
    <w:p w14:paraId="2EA8CFCA" w14:textId="1BF5B3EE" w:rsidR="009D0ACA" w:rsidRPr="006E1598" w:rsidRDefault="009D0ACA" w:rsidP="00596068">
      <w:pPr>
        <w:numPr>
          <w:ilvl w:val="2"/>
          <w:numId w:val="14"/>
        </w:numPr>
        <w:ind w:left="1727"/>
        <w:rPr>
          <w:bCs/>
          <w:sz w:val="18"/>
          <w:szCs w:val="18"/>
        </w:rPr>
      </w:pPr>
      <w:r w:rsidRPr="006E1598">
        <w:rPr>
          <w:rStyle w:val="Strong"/>
          <w:sz w:val="18"/>
          <w:szCs w:val="18"/>
        </w:rPr>
        <w:t>The industry</w:t>
      </w:r>
      <w:r w:rsidR="00E36FA3">
        <w:rPr>
          <w:rStyle w:val="Strong"/>
          <w:sz w:val="18"/>
          <w:szCs w:val="18"/>
        </w:rPr>
        <w:t xml:space="preserve"> or ineligible company</w:t>
      </w:r>
      <w:r w:rsidRPr="006E1598">
        <w:rPr>
          <w:rStyle w:val="Strong"/>
          <w:sz w:val="18"/>
          <w:szCs w:val="18"/>
        </w:rPr>
        <w:t xml:space="preserve"> representative shall</w:t>
      </w:r>
      <w:r w:rsidRPr="006E1598">
        <w:rPr>
          <w:sz w:val="18"/>
          <w:szCs w:val="18"/>
        </w:rPr>
        <w:t xml:space="preserve"> </w:t>
      </w:r>
      <w:r w:rsidRPr="006E1598">
        <w:rPr>
          <w:sz w:val="18"/>
          <w:szCs w:val="18"/>
          <w:u w:val="single"/>
        </w:rPr>
        <w:t>NOT</w:t>
      </w:r>
      <w:r w:rsidRPr="005F35BB">
        <w:rPr>
          <w:sz w:val="18"/>
          <w:szCs w:val="18"/>
        </w:rPr>
        <w:t xml:space="preserve"> </w:t>
      </w:r>
      <w:r w:rsidRPr="006E1598">
        <w:rPr>
          <w:sz w:val="18"/>
          <w:szCs w:val="18"/>
        </w:rPr>
        <w:t xml:space="preserve">expand </w:t>
      </w:r>
      <w:r w:rsidR="00596068">
        <w:rPr>
          <w:sz w:val="18"/>
          <w:szCs w:val="18"/>
        </w:rPr>
        <w:t xml:space="preserve">his or her </w:t>
      </w:r>
      <w:r w:rsidRPr="006E1598">
        <w:rPr>
          <w:sz w:val="18"/>
          <w:szCs w:val="18"/>
        </w:rPr>
        <w:t>input into areas of clinical medicine</w:t>
      </w:r>
      <w:r w:rsidR="00596068">
        <w:rPr>
          <w:sz w:val="18"/>
          <w:szCs w:val="18"/>
        </w:rPr>
        <w:t xml:space="preserve"> such as</w:t>
      </w:r>
      <w:r w:rsidRPr="006E1598">
        <w:rPr>
          <w:sz w:val="18"/>
          <w:szCs w:val="18"/>
        </w:rPr>
        <w:t>:</w:t>
      </w:r>
    </w:p>
    <w:p w14:paraId="1D38463C" w14:textId="03398D06" w:rsidR="009D0ACA" w:rsidRPr="006E1598" w:rsidRDefault="00596068" w:rsidP="00596068">
      <w:pPr>
        <w:numPr>
          <w:ilvl w:val="3"/>
          <w:numId w:val="16"/>
        </w:numPr>
        <w:ind w:left="2070" w:hanging="270"/>
        <w:rPr>
          <w:bCs/>
          <w:sz w:val="18"/>
          <w:szCs w:val="18"/>
        </w:rPr>
      </w:pPr>
      <w:r>
        <w:rPr>
          <w:sz w:val="18"/>
          <w:szCs w:val="18"/>
        </w:rPr>
        <w:t>I</w:t>
      </w:r>
      <w:r w:rsidR="009D0ACA" w:rsidRPr="006E1598">
        <w:rPr>
          <w:sz w:val="18"/>
          <w:szCs w:val="18"/>
        </w:rPr>
        <w:t>ndications for use</w:t>
      </w:r>
    </w:p>
    <w:p w14:paraId="12EB3B13" w14:textId="51E3C95D" w:rsidR="009D0ACA" w:rsidRPr="006E1598" w:rsidRDefault="00596068" w:rsidP="00596068">
      <w:pPr>
        <w:numPr>
          <w:ilvl w:val="3"/>
          <w:numId w:val="16"/>
        </w:numPr>
        <w:ind w:left="2070" w:hanging="270"/>
        <w:rPr>
          <w:bCs/>
          <w:sz w:val="18"/>
          <w:szCs w:val="18"/>
        </w:rPr>
      </w:pPr>
      <w:r>
        <w:rPr>
          <w:sz w:val="18"/>
          <w:szCs w:val="18"/>
        </w:rPr>
        <w:t>C</w:t>
      </w:r>
      <w:r w:rsidR="009D0ACA" w:rsidRPr="006E1598">
        <w:rPr>
          <w:sz w:val="18"/>
          <w:szCs w:val="18"/>
        </w:rPr>
        <w:t>omparisons between competing products</w:t>
      </w:r>
    </w:p>
    <w:p w14:paraId="6546021F" w14:textId="2AB0D8BE" w:rsidR="009D0ACA" w:rsidRPr="006E1598" w:rsidRDefault="00596068" w:rsidP="00596068">
      <w:pPr>
        <w:numPr>
          <w:ilvl w:val="3"/>
          <w:numId w:val="16"/>
        </w:numPr>
        <w:ind w:left="2070" w:hanging="270"/>
        <w:rPr>
          <w:bCs/>
          <w:sz w:val="18"/>
          <w:szCs w:val="18"/>
        </w:rPr>
      </w:pPr>
      <w:r>
        <w:rPr>
          <w:sz w:val="18"/>
          <w:szCs w:val="18"/>
        </w:rPr>
        <w:t>C</w:t>
      </w:r>
      <w:r w:rsidR="009D0ACA" w:rsidRPr="006E1598">
        <w:rPr>
          <w:sz w:val="18"/>
          <w:szCs w:val="18"/>
        </w:rPr>
        <w:t>omparisons between the device, invasive surgery, and/or medical treatment</w:t>
      </w:r>
      <w:r>
        <w:rPr>
          <w:sz w:val="18"/>
          <w:szCs w:val="18"/>
        </w:rPr>
        <w:t>.</w:t>
      </w:r>
    </w:p>
    <w:p w14:paraId="49CC3E45" w14:textId="24384C9E" w:rsidR="009D0ACA" w:rsidRPr="006E1598" w:rsidRDefault="009D0ACA" w:rsidP="00596068">
      <w:pPr>
        <w:numPr>
          <w:ilvl w:val="2"/>
          <w:numId w:val="14"/>
        </w:numPr>
        <w:ind w:left="1727"/>
        <w:rPr>
          <w:bCs/>
          <w:sz w:val="18"/>
          <w:szCs w:val="18"/>
        </w:rPr>
      </w:pPr>
      <w:r w:rsidRPr="006E1598">
        <w:rPr>
          <w:sz w:val="18"/>
          <w:szCs w:val="18"/>
        </w:rPr>
        <w:t>ASRA</w:t>
      </w:r>
      <w:r w:rsidR="00ED3389">
        <w:rPr>
          <w:sz w:val="18"/>
          <w:szCs w:val="18"/>
        </w:rPr>
        <w:t xml:space="preserve"> Pain Medicine</w:t>
      </w:r>
      <w:r w:rsidRPr="006E1598">
        <w:rPr>
          <w:sz w:val="18"/>
          <w:szCs w:val="18"/>
        </w:rPr>
        <w:t xml:space="preserve">’s faculty and staff provide strict supervision to ensure proper professional behavior by industry representatives. </w:t>
      </w:r>
    </w:p>
    <w:p w14:paraId="3B7DC332" w14:textId="0DAD3248" w:rsidR="009D0ACA" w:rsidRPr="004F7BC2" w:rsidRDefault="009D0ACA" w:rsidP="00596068">
      <w:pPr>
        <w:numPr>
          <w:ilvl w:val="2"/>
          <w:numId w:val="14"/>
        </w:numPr>
        <w:ind w:left="1727"/>
        <w:rPr>
          <w:rStyle w:val="Strong"/>
          <w:b w:val="0"/>
          <w:sz w:val="18"/>
          <w:szCs w:val="18"/>
        </w:rPr>
      </w:pPr>
      <w:r w:rsidRPr="004F7BC2">
        <w:rPr>
          <w:rStyle w:val="Strong"/>
          <w:b w:val="0"/>
          <w:sz w:val="18"/>
          <w:szCs w:val="18"/>
        </w:rPr>
        <w:t xml:space="preserve">ASRA </w:t>
      </w:r>
      <w:r w:rsidR="00ED3389">
        <w:rPr>
          <w:rStyle w:val="Strong"/>
          <w:b w:val="0"/>
          <w:sz w:val="18"/>
          <w:szCs w:val="18"/>
        </w:rPr>
        <w:t xml:space="preserve">Pain Medicine </w:t>
      </w:r>
      <w:r w:rsidRPr="004F7BC2">
        <w:rPr>
          <w:rStyle w:val="Strong"/>
          <w:b w:val="0"/>
          <w:sz w:val="18"/>
          <w:szCs w:val="18"/>
        </w:rPr>
        <w:t>reserves the right to physically limit the technician’s access to the educational setting</w:t>
      </w:r>
      <w:r w:rsidR="00596068">
        <w:rPr>
          <w:rStyle w:val="Strong"/>
          <w:b w:val="0"/>
          <w:sz w:val="18"/>
          <w:szCs w:val="18"/>
        </w:rPr>
        <w:t>,</w:t>
      </w:r>
      <w:r w:rsidRPr="004F7BC2">
        <w:rPr>
          <w:rStyle w:val="Strong"/>
          <w:b w:val="0"/>
          <w:sz w:val="18"/>
          <w:szCs w:val="18"/>
        </w:rPr>
        <w:t xml:space="preserve"> requesting the technician’s participation only when questions </w:t>
      </w:r>
      <w:proofErr w:type="gramStart"/>
      <w:r w:rsidRPr="004F7BC2">
        <w:rPr>
          <w:rStyle w:val="Strong"/>
          <w:b w:val="0"/>
          <w:sz w:val="18"/>
          <w:szCs w:val="18"/>
        </w:rPr>
        <w:t>arise</w:t>
      </w:r>
      <w:proofErr w:type="gramEnd"/>
      <w:r w:rsidRPr="004F7BC2">
        <w:rPr>
          <w:rStyle w:val="Strong"/>
          <w:b w:val="0"/>
          <w:sz w:val="18"/>
          <w:szCs w:val="18"/>
        </w:rPr>
        <w:t xml:space="preserve"> or further assistance is needed.</w:t>
      </w:r>
    </w:p>
    <w:p w14:paraId="62B61EBE" w14:textId="77777777" w:rsidR="009D0ACA" w:rsidRDefault="009D0ACA" w:rsidP="00596068">
      <w:pPr>
        <w:widowControl w:val="0"/>
        <w:autoSpaceDE w:val="0"/>
        <w:autoSpaceDN w:val="0"/>
        <w:adjustRightInd w:val="0"/>
        <w:ind w:left="1727"/>
        <w:rPr>
          <w:bCs/>
          <w:sz w:val="18"/>
          <w:szCs w:val="18"/>
          <w:lang w:eastAsia="ja-JP"/>
        </w:rPr>
      </w:pPr>
    </w:p>
    <w:p w14:paraId="7FC64718" w14:textId="77777777" w:rsidR="009D0ACA" w:rsidRDefault="009D0ACA" w:rsidP="009D0ACA">
      <w:pPr>
        <w:widowControl w:val="0"/>
        <w:autoSpaceDE w:val="0"/>
        <w:autoSpaceDN w:val="0"/>
        <w:adjustRightInd w:val="0"/>
        <w:rPr>
          <w:bCs/>
          <w:sz w:val="18"/>
          <w:szCs w:val="18"/>
          <w:lang w:eastAsia="ja-JP"/>
        </w:rPr>
      </w:pPr>
    </w:p>
    <w:p w14:paraId="74A26F62" w14:textId="77777777" w:rsidR="009D0ACA" w:rsidRPr="007D5F7B" w:rsidRDefault="009D0ACA" w:rsidP="002D4E55">
      <w:pPr>
        <w:pStyle w:val="Default"/>
        <w:numPr>
          <w:ilvl w:val="0"/>
          <w:numId w:val="8"/>
        </w:numPr>
        <w:rPr>
          <w:rFonts w:ascii="Times New Roman" w:hAnsi="Times New Roman" w:cs="Times New Roman"/>
          <w:b/>
          <w:sz w:val="18"/>
          <w:szCs w:val="18"/>
        </w:rPr>
      </w:pPr>
      <w:r>
        <w:rPr>
          <w:rFonts w:ascii="Times New Roman" w:hAnsi="Times New Roman" w:cs="Times New Roman"/>
          <w:b/>
          <w:sz w:val="18"/>
          <w:szCs w:val="18"/>
        </w:rPr>
        <w:t>Industry May Not Discuss CME Planning or Presentation with Faculty</w:t>
      </w:r>
    </w:p>
    <w:p w14:paraId="1697F29F" w14:textId="77777777" w:rsidR="009D0ACA" w:rsidRPr="007D5F7B" w:rsidRDefault="009D0ACA" w:rsidP="009D0ACA">
      <w:pPr>
        <w:widowControl w:val="0"/>
        <w:autoSpaceDE w:val="0"/>
        <w:autoSpaceDN w:val="0"/>
        <w:adjustRightInd w:val="0"/>
        <w:rPr>
          <w:sz w:val="18"/>
          <w:szCs w:val="18"/>
          <w:lang w:eastAsia="ja-JP"/>
        </w:rPr>
      </w:pPr>
      <w:r>
        <w:rPr>
          <w:sz w:val="18"/>
          <w:szCs w:val="18"/>
        </w:rPr>
        <w:t xml:space="preserve">Industry representatives shall not influence CME content in any way. Companies should never approach planning committee members or faculty to discuss the planning, presentation, or evaluation of the CME content.  Faculty have been instructed to refrain from any such discussions.   </w:t>
      </w:r>
    </w:p>
    <w:p w14:paraId="5E438684" w14:textId="77777777" w:rsidR="009D0ACA" w:rsidRPr="007D5F7B" w:rsidRDefault="009D0ACA" w:rsidP="009D0ACA">
      <w:pPr>
        <w:autoSpaceDE w:val="0"/>
        <w:autoSpaceDN w:val="0"/>
        <w:adjustRightInd w:val="0"/>
        <w:rPr>
          <w:sz w:val="18"/>
          <w:szCs w:val="18"/>
        </w:rPr>
      </w:pPr>
    </w:p>
    <w:p w14:paraId="5F8C5E1A" w14:textId="77777777" w:rsidR="009D0ACA" w:rsidRPr="007D5F7B" w:rsidRDefault="009D0ACA" w:rsidP="002D4E55">
      <w:pPr>
        <w:pStyle w:val="Default"/>
        <w:numPr>
          <w:ilvl w:val="0"/>
          <w:numId w:val="8"/>
        </w:numPr>
        <w:rPr>
          <w:rFonts w:ascii="Times New Roman" w:hAnsi="Times New Roman" w:cs="Times New Roman"/>
          <w:b/>
          <w:sz w:val="18"/>
          <w:szCs w:val="18"/>
        </w:rPr>
      </w:pPr>
      <w:r w:rsidRPr="007D5F7B">
        <w:rPr>
          <w:rFonts w:ascii="Times New Roman" w:hAnsi="Times New Roman" w:cs="Times New Roman"/>
          <w:b/>
          <w:sz w:val="18"/>
          <w:szCs w:val="18"/>
        </w:rPr>
        <w:t>Commercial Interest May Not Be the Agent Providing Access to the CME Activity</w:t>
      </w:r>
    </w:p>
    <w:p w14:paraId="2702F7B8" w14:textId="09B4A051" w:rsidR="009D0ACA" w:rsidRPr="007D5F7B" w:rsidRDefault="009D0ACA" w:rsidP="002D4E55">
      <w:pPr>
        <w:pStyle w:val="Default"/>
        <w:numPr>
          <w:ilvl w:val="0"/>
          <w:numId w:val="15"/>
        </w:numPr>
        <w:rPr>
          <w:rFonts w:ascii="Times New Roman" w:hAnsi="Times New Roman" w:cs="Times New Roman"/>
          <w:sz w:val="18"/>
          <w:szCs w:val="18"/>
        </w:rPr>
      </w:pPr>
      <w:r w:rsidRPr="007D5F7B">
        <w:rPr>
          <w:rFonts w:ascii="Times New Roman" w:hAnsi="Times New Roman" w:cs="Times New Roman"/>
          <w:sz w:val="18"/>
          <w:szCs w:val="18"/>
        </w:rPr>
        <w:t xml:space="preserve">ASRA </w:t>
      </w:r>
      <w:r w:rsidR="00ED3389">
        <w:rPr>
          <w:rFonts w:ascii="Times New Roman" w:hAnsi="Times New Roman" w:cs="Times New Roman"/>
          <w:sz w:val="18"/>
          <w:szCs w:val="18"/>
        </w:rPr>
        <w:t xml:space="preserve">Pain Medicine </w:t>
      </w:r>
      <w:r w:rsidRPr="007D5F7B">
        <w:rPr>
          <w:rFonts w:ascii="Times New Roman" w:hAnsi="Times New Roman" w:cs="Times New Roman"/>
          <w:sz w:val="18"/>
          <w:szCs w:val="18"/>
        </w:rPr>
        <w:t xml:space="preserve">never uses a commercial interest as the agent providing a CME activity to learners (distribution of self-study CME activities or arranging for electronic access to CME activities). </w:t>
      </w:r>
    </w:p>
    <w:p w14:paraId="37E61361" w14:textId="05742A3E" w:rsidR="009D0ACA" w:rsidRPr="007D5F7B" w:rsidRDefault="009D0ACA" w:rsidP="002D4E55">
      <w:pPr>
        <w:pStyle w:val="Default"/>
        <w:numPr>
          <w:ilvl w:val="0"/>
          <w:numId w:val="15"/>
        </w:numPr>
        <w:rPr>
          <w:rFonts w:ascii="Times New Roman" w:hAnsi="Times New Roman" w:cs="Times New Roman"/>
          <w:sz w:val="18"/>
          <w:szCs w:val="18"/>
        </w:rPr>
      </w:pPr>
      <w:r w:rsidRPr="007D5F7B">
        <w:rPr>
          <w:rFonts w:ascii="Times New Roman" w:hAnsi="Times New Roman" w:cs="Times New Roman"/>
          <w:sz w:val="18"/>
          <w:szCs w:val="18"/>
        </w:rPr>
        <w:t xml:space="preserve">ASRA </w:t>
      </w:r>
      <w:r w:rsidR="00ED3389">
        <w:rPr>
          <w:rFonts w:ascii="Times New Roman" w:hAnsi="Times New Roman" w:cs="Times New Roman"/>
          <w:sz w:val="18"/>
          <w:szCs w:val="18"/>
        </w:rPr>
        <w:t xml:space="preserve">Pain Medicine </w:t>
      </w:r>
      <w:r w:rsidRPr="007D5F7B">
        <w:rPr>
          <w:rFonts w:ascii="Times New Roman" w:hAnsi="Times New Roman" w:cs="Times New Roman"/>
          <w:sz w:val="18"/>
          <w:szCs w:val="18"/>
        </w:rPr>
        <w:t xml:space="preserve">may provide a commercial interest with a limited number of brochures for audience generation only, but this is never the sole marketing method (others include direct mail, email promotions, etc.).  </w:t>
      </w:r>
    </w:p>
    <w:p w14:paraId="1082394C" w14:textId="77777777" w:rsidR="009D0ACA" w:rsidRPr="007D5F7B" w:rsidRDefault="009D0ACA" w:rsidP="009D0ACA">
      <w:pPr>
        <w:autoSpaceDE w:val="0"/>
        <w:autoSpaceDN w:val="0"/>
        <w:adjustRightInd w:val="0"/>
        <w:rPr>
          <w:sz w:val="18"/>
          <w:szCs w:val="18"/>
        </w:rPr>
      </w:pPr>
    </w:p>
    <w:p w14:paraId="6EDCCFE7" w14:textId="77777777" w:rsidR="009D0ACA" w:rsidRPr="007D5F7B" w:rsidRDefault="009D0ACA" w:rsidP="002D4E55">
      <w:pPr>
        <w:numPr>
          <w:ilvl w:val="0"/>
          <w:numId w:val="8"/>
        </w:numPr>
        <w:autoSpaceDE w:val="0"/>
        <w:autoSpaceDN w:val="0"/>
        <w:adjustRightInd w:val="0"/>
        <w:rPr>
          <w:b/>
          <w:bCs/>
          <w:sz w:val="18"/>
          <w:szCs w:val="18"/>
          <w:lang w:eastAsia="ja-JP"/>
        </w:rPr>
      </w:pPr>
      <w:r w:rsidRPr="007D5F7B">
        <w:rPr>
          <w:b/>
          <w:bCs/>
          <w:sz w:val="18"/>
          <w:szCs w:val="18"/>
          <w:lang w:eastAsia="ja-JP"/>
        </w:rPr>
        <w:t>Onsite Monitoring</w:t>
      </w:r>
    </w:p>
    <w:p w14:paraId="2820D312" w14:textId="1EE7D724" w:rsidR="009D0ACA" w:rsidRPr="00F72E77" w:rsidRDefault="009D0ACA" w:rsidP="009D0ACA">
      <w:pPr>
        <w:rPr>
          <w:sz w:val="18"/>
          <w:szCs w:val="18"/>
        </w:rPr>
      </w:pPr>
      <w:r w:rsidRPr="007D5F7B">
        <w:rPr>
          <w:bCs/>
          <w:sz w:val="18"/>
          <w:szCs w:val="18"/>
          <w:lang w:eastAsia="ja-JP"/>
        </w:rPr>
        <w:t>The separation of promotional materials and activities from the educational arena is strictly enforced throughout the activity by ASRA</w:t>
      </w:r>
      <w:r w:rsidR="00ED3389">
        <w:rPr>
          <w:bCs/>
          <w:sz w:val="18"/>
          <w:szCs w:val="18"/>
          <w:lang w:eastAsia="ja-JP"/>
        </w:rPr>
        <w:t xml:space="preserve"> Pain Medicine</w:t>
      </w:r>
      <w:r w:rsidRPr="007D5F7B">
        <w:rPr>
          <w:bCs/>
          <w:sz w:val="18"/>
          <w:szCs w:val="18"/>
          <w:lang w:eastAsia="ja-JP"/>
        </w:rPr>
        <w:t>’s onsite staff.</w:t>
      </w:r>
      <w:r>
        <w:rPr>
          <w:bCs/>
          <w:sz w:val="18"/>
          <w:szCs w:val="18"/>
          <w:lang w:eastAsia="ja-JP"/>
        </w:rPr>
        <w:t xml:space="preserve"> </w:t>
      </w:r>
    </w:p>
    <w:p w14:paraId="0E4E20A6" w14:textId="77777777" w:rsidR="009D0ACA" w:rsidRPr="007D5F7B" w:rsidRDefault="009D0ACA" w:rsidP="009D0ACA">
      <w:pPr>
        <w:autoSpaceDE w:val="0"/>
        <w:autoSpaceDN w:val="0"/>
        <w:adjustRightInd w:val="0"/>
        <w:rPr>
          <w:bCs/>
          <w:sz w:val="18"/>
          <w:szCs w:val="18"/>
          <w:lang w:eastAsia="ja-JP"/>
        </w:rPr>
      </w:pPr>
    </w:p>
    <w:p w14:paraId="6647423D" w14:textId="77777777" w:rsidR="009D0ACA" w:rsidRPr="007D5F7B" w:rsidRDefault="009D0ACA" w:rsidP="002D4E55">
      <w:pPr>
        <w:numPr>
          <w:ilvl w:val="0"/>
          <w:numId w:val="8"/>
        </w:numPr>
        <w:tabs>
          <w:tab w:val="left" w:pos="-720"/>
        </w:tabs>
        <w:suppressAutoHyphens/>
        <w:rPr>
          <w:b/>
          <w:spacing w:val="-3"/>
          <w:sz w:val="18"/>
          <w:szCs w:val="18"/>
        </w:rPr>
      </w:pPr>
      <w:r w:rsidRPr="007D5F7B">
        <w:rPr>
          <w:b/>
          <w:spacing w:val="-3"/>
          <w:sz w:val="18"/>
          <w:szCs w:val="18"/>
        </w:rPr>
        <w:t>Commercial Support Letter of Agreement (LOA)</w:t>
      </w:r>
    </w:p>
    <w:p w14:paraId="56C5185E" w14:textId="1F2FC2EE" w:rsidR="009D0ACA" w:rsidRPr="007D5F7B" w:rsidRDefault="009D0ACA" w:rsidP="009D0ACA">
      <w:pPr>
        <w:pStyle w:val="Header"/>
        <w:tabs>
          <w:tab w:val="clear" w:pos="4320"/>
          <w:tab w:val="clear" w:pos="8640"/>
          <w:tab w:val="left" w:pos="6300"/>
        </w:tabs>
        <w:suppressAutoHyphens/>
        <w:rPr>
          <w:sz w:val="18"/>
          <w:szCs w:val="18"/>
        </w:rPr>
      </w:pPr>
      <w:r w:rsidRPr="007D5F7B">
        <w:rPr>
          <w:sz w:val="18"/>
          <w:szCs w:val="18"/>
        </w:rPr>
        <w:t>The commercial interest and ASRA</w:t>
      </w:r>
      <w:r w:rsidR="00C015B2">
        <w:rPr>
          <w:sz w:val="18"/>
          <w:szCs w:val="18"/>
        </w:rPr>
        <w:t xml:space="preserve"> Pain Medicine</w:t>
      </w:r>
      <w:r w:rsidRPr="007D5F7B">
        <w:rPr>
          <w:sz w:val="18"/>
          <w:szCs w:val="18"/>
        </w:rPr>
        <w:t xml:space="preserve"> will agree in writing to abide by all requirements of the ACCME’s Standards for </w:t>
      </w:r>
      <w:r w:rsidR="00ED3389">
        <w:rPr>
          <w:sz w:val="18"/>
          <w:szCs w:val="18"/>
        </w:rPr>
        <w:t>Integrity and Independence</w:t>
      </w:r>
      <w:r w:rsidRPr="007D5F7B">
        <w:rPr>
          <w:sz w:val="18"/>
          <w:szCs w:val="18"/>
        </w:rPr>
        <w:t xml:space="preserve">, including, but not limited to all terms, conditions, and purposes indicated in the formal ASRA </w:t>
      </w:r>
      <w:r w:rsidR="00ED3389">
        <w:rPr>
          <w:sz w:val="18"/>
          <w:szCs w:val="18"/>
        </w:rPr>
        <w:t xml:space="preserve">Pain Medicine </w:t>
      </w:r>
      <w:r w:rsidRPr="007D5F7B">
        <w:rPr>
          <w:sz w:val="18"/>
          <w:szCs w:val="18"/>
        </w:rPr>
        <w:t>LOA. A company’s own LOA m</w:t>
      </w:r>
      <w:r w:rsidR="00596068">
        <w:rPr>
          <w:sz w:val="18"/>
          <w:szCs w:val="18"/>
        </w:rPr>
        <w:t>a</w:t>
      </w:r>
      <w:r w:rsidRPr="007D5F7B">
        <w:rPr>
          <w:sz w:val="18"/>
          <w:szCs w:val="18"/>
        </w:rPr>
        <w:t xml:space="preserve">y replace the ASRA </w:t>
      </w:r>
      <w:r w:rsidR="00ED3389">
        <w:rPr>
          <w:sz w:val="18"/>
          <w:szCs w:val="18"/>
        </w:rPr>
        <w:t xml:space="preserve">Pain Medicine </w:t>
      </w:r>
      <w:r w:rsidRPr="007D5F7B">
        <w:rPr>
          <w:sz w:val="18"/>
          <w:szCs w:val="18"/>
        </w:rPr>
        <w:t xml:space="preserve">standard agreement, but must comply with all ACCME accreditation criteria, Standards for </w:t>
      </w:r>
      <w:r w:rsidR="00ED3389">
        <w:rPr>
          <w:sz w:val="18"/>
          <w:szCs w:val="18"/>
        </w:rPr>
        <w:t>Integrity and Independence</w:t>
      </w:r>
      <w:r w:rsidR="00596068">
        <w:rPr>
          <w:sz w:val="18"/>
          <w:szCs w:val="18"/>
        </w:rPr>
        <w:t>,</w:t>
      </w:r>
      <w:r w:rsidRPr="007D5F7B">
        <w:rPr>
          <w:sz w:val="18"/>
          <w:szCs w:val="18"/>
        </w:rPr>
        <w:t xml:space="preserve"> and related policies.  The LOA will be signed by both parties and dated prior to the activity.</w:t>
      </w:r>
    </w:p>
    <w:p w14:paraId="6244B1CD" w14:textId="77777777" w:rsidR="009D0ACA" w:rsidRPr="007D5F7B" w:rsidRDefault="009D0ACA" w:rsidP="009D0ACA">
      <w:pPr>
        <w:autoSpaceDE w:val="0"/>
        <w:autoSpaceDN w:val="0"/>
        <w:adjustRightInd w:val="0"/>
        <w:rPr>
          <w:sz w:val="18"/>
          <w:szCs w:val="18"/>
        </w:rPr>
      </w:pPr>
    </w:p>
    <w:p w14:paraId="0065F5A5" w14:textId="77777777" w:rsidR="009D0ACA" w:rsidRPr="007D5F7B" w:rsidRDefault="009D0ACA" w:rsidP="002D4E55">
      <w:pPr>
        <w:numPr>
          <w:ilvl w:val="0"/>
          <w:numId w:val="8"/>
        </w:numPr>
        <w:autoSpaceDE w:val="0"/>
        <w:autoSpaceDN w:val="0"/>
        <w:adjustRightInd w:val="0"/>
        <w:rPr>
          <w:b/>
          <w:bCs/>
          <w:sz w:val="18"/>
          <w:szCs w:val="18"/>
          <w:lang w:eastAsia="ja-JP"/>
        </w:rPr>
      </w:pPr>
      <w:r w:rsidRPr="007D5F7B">
        <w:rPr>
          <w:b/>
          <w:bCs/>
          <w:sz w:val="18"/>
          <w:szCs w:val="18"/>
          <w:lang w:eastAsia="ja-JP"/>
        </w:rPr>
        <w:t>Communication of Requirements to Exhibiting Companies</w:t>
      </w:r>
    </w:p>
    <w:p w14:paraId="628D6B32" w14:textId="2FE3A79F" w:rsidR="009D0ACA" w:rsidRPr="007D5F7B" w:rsidRDefault="009D0ACA" w:rsidP="009D0ACA">
      <w:pPr>
        <w:autoSpaceDE w:val="0"/>
        <w:autoSpaceDN w:val="0"/>
        <w:adjustRightInd w:val="0"/>
        <w:rPr>
          <w:sz w:val="18"/>
          <w:szCs w:val="18"/>
        </w:rPr>
      </w:pPr>
      <w:r w:rsidRPr="007D5F7B">
        <w:rPr>
          <w:bCs/>
          <w:sz w:val="18"/>
          <w:szCs w:val="18"/>
          <w:lang w:eastAsia="ja-JP"/>
        </w:rPr>
        <w:t xml:space="preserve">These </w:t>
      </w:r>
      <w:r>
        <w:rPr>
          <w:bCs/>
          <w:sz w:val="18"/>
          <w:szCs w:val="18"/>
          <w:lang w:eastAsia="ja-JP"/>
        </w:rPr>
        <w:t xml:space="preserve">policies and </w:t>
      </w:r>
      <w:r w:rsidRPr="007D5F7B">
        <w:rPr>
          <w:bCs/>
          <w:sz w:val="18"/>
          <w:szCs w:val="18"/>
          <w:lang w:eastAsia="ja-JP"/>
        </w:rPr>
        <w:t>procedures</w:t>
      </w:r>
      <w:r>
        <w:rPr>
          <w:bCs/>
          <w:sz w:val="18"/>
          <w:szCs w:val="18"/>
          <w:lang w:eastAsia="ja-JP"/>
        </w:rPr>
        <w:t xml:space="preserve"> </w:t>
      </w:r>
      <w:r w:rsidRPr="007D5F7B">
        <w:rPr>
          <w:bCs/>
          <w:sz w:val="18"/>
          <w:szCs w:val="18"/>
          <w:lang w:eastAsia="ja-JP"/>
        </w:rPr>
        <w:t>are communicated to companies providing commercial support in the ASRA</w:t>
      </w:r>
      <w:r w:rsidR="00ED3389">
        <w:rPr>
          <w:bCs/>
          <w:sz w:val="18"/>
          <w:szCs w:val="18"/>
          <w:lang w:eastAsia="ja-JP"/>
        </w:rPr>
        <w:t xml:space="preserve"> Pain Medicine</w:t>
      </w:r>
      <w:r w:rsidRPr="007D5F7B">
        <w:rPr>
          <w:bCs/>
          <w:sz w:val="18"/>
          <w:szCs w:val="18"/>
          <w:lang w:eastAsia="ja-JP"/>
        </w:rPr>
        <w:t xml:space="preserve"> Commercial Support Letter of Agreement and to exhibiting companies in the activity’s Exhibitor Prospectus.</w:t>
      </w:r>
    </w:p>
    <w:p w14:paraId="66593049" w14:textId="4F4A5D9A" w:rsidR="00C31C45" w:rsidRPr="004F0A0C" w:rsidRDefault="00C31C45" w:rsidP="009D0ACA">
      <w:pPr>
        <w:pStyle w:val="Heading1"/>
        <w:numPr>
          <w:ilvl w:val="0"/>
          <w:numId w:val="0"/>
        </w:numPr>
        <w:ind w:left="360" w:hanging="360"/>
        <w:rPr>
          <w:spacing w:val="-3"/>
          <w:szCs w:val="18"/>
        </w:rPr>
      </w:pPr>
    </w:p>
    <w:sectPr w:rsidR="00C31C45" w:rsidRPr="004F0A0C" w:rsidSect="003624CD">
      <w:headerReference w:type="default" r:id="rId9"/>
      <w:footerReference w:type="default" r:id="rId1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A178" w14:textId="77777777" w:rsidR="00231A4B" w:rsidRDefault="00231A4B" w:rsidP="009B20DC">
      <w:r>
        <w:separator/>
      </w:r>
    </w:p>
  </w:endnote>
  <w:endnote w:type="continuationSeparator" w:id="0">
    <w:p w14:paraId="5A64611D" w14:textId="77777777" w:rsidR="00231A4B" w:rsidRDefault="00231A4B"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185B8D" w:rsidRDefault="00185B8D">
    <w:pPr>
      <w:pStyle w:val="Footer"/>
      <w:jc w:val="center"/>
    </w:pPr>
  </w:p>
  <w:p w14:paraId="4B3E80F9" w14:textId="77777777" w:rsidR="00185B8D" w:rsidRDefault="0018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611CE" w14:textId="77777777" w:rsidR="00231A4B" w:rsidRDefault="00231A4B" w:rsidP="009B20DC">
      <w:r>
        <w:separator/>
      </w:r>
    </w:p>
  </w:footnote>
  <w:footnote w:type="continuationSeparator" w:id="0">
    <w:p w14:paraId="5F42B7B9" w14:textId="77777777" w:rsidR="00231A4B" w:rsidRDefault="00231A4B"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3F770522" w:rsidR="00185B8D" w:rsidRDefault="00185B8D">
        <w:pPr>
          <w:pStyle w:val="Header"/>
          <w:jc w:val="right"/>
        </w:pPr>
        <w:r>
          <w:fldChar w:fldCharType="begin"/>
        </w:r>
        <w:r>
          <w:instrText xml:space="preserve"> PAGE   \* MERGEFORMAT </w:instrText>
        </w:r>
        <w:r>
          <w:fldChar w:fldCharType="separate"/>
        </w:r>
        <w:r w:rsidR="00326E81">
          <w:rPr>
            <w:noProof/>
          </w:rPr>
          <w:t>1</w:t>
        </w:r>
        <w:r>
          <w:rPr>
            <w:noProof/>
          </w:rPr>
          <w:fldChar w:fldCharType="end"/>
        </w:r>
      </w:p>
    </w:sdtContent>
  </w:sdt>
  <w:p w14:paraId="13539E2C" w14:textId="77777777" w:rsidR="00185B8D" w:rsidRDefault="00185B8D"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44"/>
    <w:multiLevelType w:val="hybridMultilevel"/>
    <w:tmpl w:val="995A8E74"/>
    <w:lvl w:ilvl="0" w:tplc="04090001">
      <w:start w:val="1"/>
      <w:numFmt w:val="bullet"/>
      <w:lvlText w:val=""/>
      <w:lvlJc w:val="left"/>
      <w:pPr>
        <w:ind w:left="907" w:hanging="360"/>
      </w:pPr>
      <w:rPr>
        <w:rFonts w:ascii="Symbol" w:hAnsi="Symbol" w:hint="default"/>
      </w:rPr>
    </w:lvl>
    <w:lvl w:ilvl="1" w:tplc="08090003">
      <w:start w:val="1"/>
      <w:numFmt w:val="bullet"/>
      <w:lvlText w:val="o"/>
      <w:lvlJc w:val="left"/>
      <w:pPr>
        <w:ind w:left="596" w:hanging="360"/>
      </w:pPr>
      <w:rPr>
        <w:rFonts w:ascii="Courier New" w:hAnsi="Courier New" w:cs="Courier New" w:hint="default"/>
      </w:rPr>
    </w:lvl>
    <w:lvl w:ilvl="2" w:tplc="08090005">
      <w:start w:val="1"/>
      <w:numFmt w:val="bullet"/>
      <w:lvlText w:val=""/>
      <w:lvlJc w:val="left"/>
      <w:pPr>
        <w:ind w:left="1316" w:hanging="360"/>
      </w:pPr>
      <w:rPr>
        <w:rFonts w:ascii="Wingdings" w:hAnsi="Wingdings" w:hint="default"/>
      </w:rPr>
    </w:lvl>
    <w:lvl w:ilvl="3" w:tplc="08090001" w:tentative="1">
      <w:start w:val="1"/>
      <w:numFmt w:val="bullet"/>
      <w:lvlText w:val=""/>
      <w:lvlJc w:val="left"/>
      <w:pPr>
        <w:ind w:left="2036" w:hanging="360"/>
      </w:pPr>
      <w:rPr>
        <w:rFonts w:ascii="Symbol" w:hAnsi="Symbol" w:hint="default"/>
      </w:rPr>
    </w:lvl>
    <w:lvl w:ilvl="4" w:tplc="08090003" w:tentative="1">
      <w:start w:val="1"/>
      <w:numFmt w:val="bullet"/>
      <w:lvlText w:val="o"/>
      <w:lvlJc w:val="left"/>
      <w:pPr>
        <w:ind w:left="2756" w:hanging="360"/>
      </w:pPr>
      <w:rPr>
        <w:rFonts w:ascii="Courier New" w:hAnsi="Courier New" w:cs="Courier New" w:hint="default"/>
      </w:rPr>
    </w:lvl>
    <w:lvl w:ilvl="5" w:tplc="08090005" w:tentative="1">
      <w:start w:val="1"/>
      <w:numFmt w:val="bullet"/>
      <w:lvlText w:val=""/>
      <w:lvlJc w:val="left"/>
      <w:pPr>
        <w:ind w:left="3476" w:hanging="360"/>
      </w:pPr>
      <w:rPr>
        <w:rFonts w:ascii="Wingdings" w:hAnsi="Wingdings" w:hint="default"/>
      </w:rPr>
    </w:lvl>
    <w:lvl w:ilvl="6" w:tplc="08090001" w:tentative="1">
      <w:start w:val="1"/>
      <w:numFmt w:val="bullet"/>
      <w:lvlText w:val=""/>
      <w:lvlJc w:val="left"/>
      <w:pPr>
        <w:ind w:left="4196" w:hanging="360"/>
      </w:pPr>
      <w:rPr>
        <w:rFonts w:ascii="Symbol" w:hAnsi="Symbol" w:hint="default"/>
      </w:rPr>
    </w:lvl>
    <w:lvl w:ilvl="7" w:tplc="08090003" w:tentative="1">
      <w:start w:val="1"/>
      <w:numFmt w:val="bullet"/>
      <w:lvlText w:val="o"/>
      <w:lvlJc w:val="left"/>
      <w:pPr>
        <w:ind w:left="4916" w:hanging="360"/>
      </w:pPr>
      <w:rPr>
        <w:rFonts w:ascii="Courier New" w:hAnsi="Courier New" w:cs="Courier New" w:hint="default"/>
      </w:rPr>
    </w:lvl>
    <w:lvl w:ilvl="8" w:tplc="08090005" w:tentative="1">
      <w:start w:val="1"/>
      <w:numFmt w:val="bullet"/>
      <w:lvlText w:val=""/>
      <w:lvlJc w:val="left"/>
      <w:pPr>
        <w:ind w:left="5636" w:hanging="360"/>
      </w:pPr>
      <w:rPr>
        <w:rFonts w:ascii="Wingdings" w:hAnsi="Wingdings" w:hint="default"/>
      </w:rPr>
    </w:lvl>
  </w:abstractNum>
  <w:abstractNum w:abstractNumId="1" w15:restartNumberingAfterBreak="0">
    <w:nsid w:val="16416016"/>
    <w:multiLevelType w:val="hybridMultilevel"/>
    <w:tmpl w:val="CB32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1499B"/>
    <w:multiLevelType w:val="hybridMultilevel"/>
    <w:tmpl w:val="27321FE4"/>
    <w:lvl w:ilvl="0" w:tplc="04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17316DED"/>
    <w:multiLevelType w:val="hybridMultilevel"/>
    <w:tmpl w:val="13727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982FA6"/>
    <w:multiLevelType w:val="hybridMultilevel"/>
    <w:tmpl w:val="8108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83394"/>
    <w:multiLevelType w:val="hybridMultilevel"/>
    <w:tmpl w:val="07023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931D0"/>
    <w:multiLevelType w:val="hybridMultilevel"/>
    <w:tmpl w:val="E12CE2F4"/>
    <w:lvl w:ilvl="0" w:tplc="A7CCCBB2">
      <w:start w:val="1"/>
      <w:numFmt w:val="upperLetter"/>
      <w:lvlText w:val="%1."/>
      <w:lvlJc w:val="left"/>
      <w:pPr>
        <w:ind w:left="491" w:hanging="491"/>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7616B3"/>
    <w:multiLevelType w:val="hybridMultilevel"/>
    <w:tmpl w:val="B2EEEEB8"/>
    <w:lvl w:ilvl="0" w:tplc="9F04C79E">
      <w:start w:val="1"/>
      <w:numFmt w:val="upperLetter"/>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24A8"/>
    <w:multiLevelType w:val="hybridMultilevel"/>
    <w:tmpl w:val="02887028"/>
    <w:lvl w:ilvl="0" w:tplc="04090001">
      <w:start w:val="1"/>
      <w:numFmt w:val="bullet"/>
      <w:lvlText w:val=""/>
      <w:lvlJc w:val="left"/>
      <w:pPr>
        <w:tabs>
          <w:tab w:val="num" w:pos="907"/>
        </w:tabs>
        <w:ind w:left="907" w:hanging="360"/>
      </w:pPr>
      <w:rPr>
        <w:rFonts w:ascii="Symbol" w:hAnsi="Symbol" w:hint="default"/>
      </w:rPr>
    </w:lvl>
    <w:lvl w:ilvl="1" w:tplc="8C8E8CF4">
      <w:start w:val="1"/>
      <w:numFmt w:val="bullet"/>
      <w:lvlText w:val="-"/>
      <w:lvlJc w:val="left"/>
      <w:pPr>
        <w:tabs>
          <w:tab w:val="num" w:pos="1439"/>
        </w:tabs>
        <w:ind w:left="1439" w:hanging="360"/>
      </w:pPr>
      <w:rPr>
        <w:rFonts w:ascii="Times New Roman" w:hAnsi="Times New Roman" w:cs="Times New Roman" w:hint="default"/>
      </w:rPr>
    </w:lvl>
    <w:lvl w:ilvl="2" w:tplc="0409001B" w:tentative="1">
      <w:start w:val="1"/>
      <w:numFmt w:val="lowerRoman"/>
      <w:lvlText w:val="%3."/>
      <w:lvlJc w:val="right"/>
      <w:pPr>
        <w:tabs>
          <w:tab w:val="num" w:pos="2159"/>
        </w:tabs>
        <w:ind w:left="2159" w:hanging="180"/>
      </w:pPr>
    </w:lvl>
    <w:lvl w:ilvl="3" w:tplc="0409000F">
      <w:start w:val="1"/>
      <w:numFmt w:val="decimal"/>
      <w:lvlText w:val="%4."/>
      <w:lvlJc w:val="left"/>
      <w:pPr>
        <w:tabs>
          <w:tab w:val="num" w:pos="2879"/>
        </w:tabs>
        <w:ind w:left="2879" w:hanging="360"/>
      </w:pPr>
      <w:rPr>
        <w:rFonts w:hint="default"/>
      </w:r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9" w15:restartNumberingAfterBreak="0">
    <w:nsid w:val="377720AB"/>
    <w:multiLevelType w:val="hybridMultilevel"/>
    <w:tmpl w:val="E0083B22"/>
    <w:lvl w:ilvl="0" w:tplc="04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409000F">
      <w:start w:val="1"/>
      <w:numFmt w:val="decimal"/>
      <w:lvlText w:val="%3."/>
      <w:lvlJc w:val="left"/>
      <w:pPr>
        <w:ind w:left="2291" w:hanging="360"/>
      </w:pPr>
      <w:rPr>
        <w:rFonts w:hint="default"/>
      </w:rPr>
    </w:lvl>
    <w:lvl w:ilvl="3" w:tplc="0809000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0" w15:restartNumberingAfterBreak="0">
    <w:nsid w:val="3CF41A8C"/>
    <w:multiLevelType w:val="hybridMultilevel"/>
    <w:tmpl w:val="70783C78"/>
    <w:lvl w:ilvl="0" w:tplc="04090001">
      <w:start w:val="1"/>
      <w:numFmt w:val="bullet"/>
      <w:lvlText w:val=""/>
      <w:lvlJc w:val="left"/>
      <w:pPr>
        <w:ind w:left="1028" w:hanging="360"/>
      </w:pPr>
      <w:rPr>
        <w:rFonts w:ascii="Symbol" w:hAnsi="Symbol" w:hint="default"/>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1" w15:restartNumberingAfterBreak="0">
    <w:nsid w:val="4379376B"/>
    <w:multiLevelType w:val="hybridMultilevel"/>
    <w:tmpl w:val="836EB5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FF3910"/>
    <w:multiLevelType w:val="hybridMultilevel"/>
    <w:tmpl w:val="50A2D6BC"/>
    <w:lvl w:ilvl="0" w:tplc="8C7879A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9065DA"/>
    <w:multiLevelType w:val="hybridMultilevel"/>
    <w:tmpl w:val="3260F3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7B3CAC"/>
    <w:multiLevelType w:val="hybridMultilevel"/>
    <w:tmpl w:val="8CC02C3C"/>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B80148"/>
    <w:multiLevelType w:val="hybridMultilevel"/>
    <w:tmpl w:val="9D983D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992230"/>
    <w:multiLevelType w:val="hybridMultilevel"/>
    <w:tmpl w:val="7922A9A8"/>
    <w:lvl w:ilvl="0" w:tplc="04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409000F">
      <w:start w:val="1"/>
      <w:numFmt w:val="decimal"/>
      <w:lvlText w:val="%3."/>
      <w:lvlJc w:val="left"/>
      <w:pPr>
        <w:ind w:left="2291" w:hanging="360"/>
      </w:pPr>
      <w:rPr>
        <w:rFonts w:hint="default"/>
      </w:rPr>
    </w:lvl>
    <w:lvl w:ilvl="3" w:tplc="8C7879A8">
      <w:start w:val="1"/>
      <w:numFmt w:val="bullet"/>
      <w:lvlText w:val=""/>
      <w:lvlJc w:val="left"/>
      <w:pPr>
        <w:ind w:left="3011" w:hanging="360"/>
      </w:pPr>
      <w:rPr>
        <w:rFonts w:ascii="Symbol" w:hAnsi="Symbol" w:hint="default"/>
      </w:rPr>
    </w:lvl>
    <w:lvl w:ilvl="4" w:tplc="08090003">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7" w15:restartNumberingAfterBreak="0">
    <w:nsid w:val="6B2665B6"/>
    <w:multiLevelType w:val="hybridMultilevel"/>
    <w:tmpl w:val="98D6B1BE"/>
    <w:lvl w:ilvl="0" w:tplc="04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8" w15:restartNumberingAfterBreak="0">
    <w:nsid w:val="6C8F7C91"/>
    <w:multiLevelType w:val="hybridMultilevel"/>
    <w:tmpl w:val="41108F8E"/>
    <w:lvl w:ilvl="0" w:tplc="04090003">
      <w:start w:val="1"/>
      <w:numFmt w:val="bullet"/>
      <w:lvlText w:val="o"/>
      <w:lvlJc w:val="left"/>
      <w:pPr>
        <w:ind w:left="1454" w:hanging="360"/>
      </w:pPr>
      <w:rPr>
        <w:rFonts w:ascii="Courier New" w:hAnsi="Courier New" w:cs="Courier New"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num w:numId="1" w16cid:durableId="243807757">
    <w:abstractNumId w:val="7"/>
  </w:num>
  <w:num w:numId="2" w16cid:durableId="224221326">
    <w:abstractNumId w:val="14"/>
  </w:num>
  <w:num w:numId="3" w16cid:durableId="37434933">
    <w:abstractNumId w:val="10"/>
  </w:num>
  <w:num w:numId="4" w16cid:durableId="7759407">
    <w:abstractNumId w:val="18"/>
  </w:num>
  <w:num w:numId="5" w16cid:durableId="411050216">
    <w:abstractNumId w:val="0"/>
  </w:num>
  <w:num w:numId="6" w16cid:durableId="2010208859">
    <w:abstractNumId w:val="8"/>
  </w:num>
  <w:num w:numId="7" w16cid:durableId="1615549792">
    <w:abstractNumId w:val="12"/>
  </w:num>
  <w:num w:numId="8" w16cid:durableId="1295257638">
    <w:abstractNumId w:val="6"/>
  </w:num>
  <w:num w:numId="9" w16cid:durableId="989362048">
    <w:abstractNumId w:val="13"/>
  </w:num>
  <w:num w:numId="10" w16cid:durableId="716124135">
    <w:abstractNumId w:val="11"/>
  </w:num>
  <w:num w:numId="11" w16cid:durableId="1000355005">
    <w:abstractNumId w:val="17"/>
  </w:num>
  <w:num w:numId="12" w16cid:durableId="323902699">
    <w:abstractNumId w:val="3"/>
  </w:num>
  <w:num w:numId="13" w16cid:durableId="1137726731">
    <w:abstractNumId w:val="2"/>
  </w:num>
  <w:num w:numId="14" w16cid:durableId="760882317">
    <w:abstractNumId w:val="9"/>
  </w:num>
  <w:num w:numId="15" w16cid:durableId="1196504804">
    <w:abstractNumId w:val="15"/>
  </w:num>
  <w:num w:numId="16" w16cid:durableId="1764375531">
    <w:abstractNumId w:val="16"/>
  </w:num>
  <w:num w:numId="17" w16cid:durableId="842234341">
    <w:abstractNumId w:val="4"/>
  </w:num>
  <w:num w:numId="18" w16cid:durableId="1353528787">
    <w:abstractNumId w:val="1"/>
  </w:num>
  <w:num w:numId="19" w16cid:durableId="2790753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DC"/>
    <w:rsid w:val="000018F7"/>
    <w:rsid w:val="00005BBF"/>
    <w:rsid w:val="00005F6E"/>
    <w:rsid w:val="00010368"/>
    <w:rsid w:val="000119C1"/>
    <w:rsid w:val="0001369D"/>
    <w:rsid w:val="00027AE7"/>
    <w:rsid w:val="00031D0A"/>
    <w:rsid w:val="00034091"/>
    <w:rsid w:val="0003681D"/>
    <w:rsid w:val="000433E1"/>
    <w:rsid w:val="000442AF"/>
    <w:rsid w:val="000522A8"/>
    <w:rsid w:val="00060F69"/>
    <w:rsid w:val="0006325D"/>
    <w:rsid w:val="000641AD"/>
    <w:rsid w:val="00064E68"/>
    <w:rsid w:val="00070165"/>
    <w:rsid w:val="00071B85"/>
    <w:rsid w:val="00072B26"/>
    <w:rsid w:val="0008208B"/>
    <w:rsid w:val="000828D8"/>
    <w:rsid w:val="00084875"/>
    <w:rsid w:val="000862DF"/>
    <w:rsid w:val="000877B0"/>
    <w:rsid w:val="0009028D"/>
    <w:rsid w:val="000917CA"/>
    <w:rsid w:val="000955A1"/>
    <w:rsid w:val="00096F0D"/>
    <w:rsid w:val="000A3B2D"/>
    <w:rsid w:val="000A5E17"/>
    <w:rsid w:val="000A636C"/>
    <w:rsid w:val="000A737E"/>
    <w:rsid w:val="000A7A45"/>
    <w:rsid w:val="000D4196"/>
    <w:rsid w:val="000F046C"/>
    <w:rsid w:val="000F1212"/>
    <w:rsid w:val="000F1DE5"/>
    <w:rsid w:val="000F2F0E"/>
    <w:rsid w:val="00110D2E"/>
    <w:rsid w:val="00111EEC"/>
    <w:rsid w:val="0011611B"/>
    <w:rsid w:val="001264B6"/>
    <w:rsid w:val="001274C4"/>
    <w:rsid w:val="00127DAB"/>
    <w:rsid w:val="00127FB4"/>
    <w:rsid w:val="00133DFA"/>
    <w:rsid w:val="00137D1D"/>
    <w:rsid w:val="001422F2"/>
    <w:rsid w:val="00150787"/>
    <w:rsid w:val="00150A63"/>
    <w:rsid w:val="00152969"/>
    <w:rsid w:val="00153CA7"/>
    <w:rsid w:val="00155A1E"/>
    <w:rsid w:val="001629DD"/>
    <w:rsid w:val="00165414"/>
    <w:rsid w:val="00166AFE"/>
    <w:rsid w:val="00170E6F"/>
    <w:rsid w:val="00177C67"/>
    <w:rsid w:val="00185B8D"/>
    <w:rsid w:val="001876CD"/>
    <w:rsid w:val="00187E2A"/>
    <w:rsid w:val="00190992"/>
    <w:rsid w:val="00193135"/>
    <w:rsid w:val="00196510"/>
    <w:rsid w:val="001976B2"/>
    <w:rsid w:val="001A3467"/>
    <w:rsid w:val="001A5527"/>
    <w:rsid w:val="001A61BF"/>
    <w:rsid w:val="001A77C2"/>
    <w:rsid w:val="001B1F2E"/>
    <w:rsid w:val="001B509A"/>
    <w:rsid w:val="001B5AE1"/>
    <w:rsid w:val="001B6515"/>
    <w:rsid w:val="001B6D24"/>
    <w:rsid w:val="001B7D3B"/>
    <w:rsid w:val="001C66F9"/>
    <w:rsid w:val="001D3374"/>
    <w:rsid w:val="001D5A99"/>
    <w:rsid w:val="001D66E0"/>
    <w:rsid w:val="001E2346"/>
    <w:rsid w:val="001E2923"/>
    <w:rsid w:val="001E4196"/>
    <w:rsid w:val="001F467C"/>
    <w:rsid w:val="00201D07"/>
    <w:rsid w:val="002032F6"/>
    <w:rsid w:val="00206166"/>
    <w:rsid w:val="0021292D"/>
    <w:rsid w:val="00212BBB"/>
    <w:rsid w:val="002137E1"/>
    <w:rsid w:val="00220412"/>
    <w:rsid w:val="00223D91"/>
    <w:rsid w:val="00223F0C"/>
    <w:rsid w:val="00224A1C"/>
    <w:rsid w:val="00231A4B"/>
    <w:rsid w:val="00235790"/>
    <w:rsid w:val="0024229C"/>
    <w:rsid w:val="00244DE7"/>
    <w:rsid w:val="0024643F"/>
    <w:rsid w:val="0024766F"/>
    <w:rsid w:val="0025014E"/>
    <w:rsid w:val="00251AE9"/>
    <w:rsid w:val="00261FF2"/>
    <w:rsid w:val="002626DA"/>
    <w:rsid w:val="002628A4"/>
    <w:rsid w:val="00263C7F"/>
    <w:rsid w:val="00264FB9"/>
    <w:rsid w:val="002654B2"/>
    <w:rsid w:val="00267CE1"/>
    <w:rsid w:val="0027263E"/>
    <w:rsid w:val="00272C03"/>
    <w:rsid w:val="002813C5"/>
    <w:rsid w:val="00290F47"/>
    <w:rsid w:val="00290FDD"/>
    <w:rsid w:val="00294F5B"/>
    <w:rsid w:val="002B4008"/>
    <w:rsid w:val="002B7465"/>
    <w:rsid w:val="002B7ADC"/>
    <w:rsid w:val="002C26E0"/>
    <w:rsid w:val="002C42AC"/>
    <w:rsid w:val="002C5C2F"/>
    <w:rsid w:val="002D1326"/>
    <w:rsid w:val="002D3482"/>
    <w:rsid w:val="002D4C8D"/>
    <w:rsid w:val="002D4E55"/>
    <w:rsid w:val="002D5AAC"/>
    <w:rsid w:val="002D6579"/>
    <w:rsid w:val="002D6833"/>
    <w:rsid w:val="002E12C0"/>
    <w:rsid w:val="002E1E78"/>
    <w:rsid w:val="002E34B5"/>
    <w:rsid w:val="002E397D"/>
    <w:rsid w:val="002E4FF0"/>
    <w:rsid w:val="002E7055"/>
    <w:rsid w:val="002F439C"/>
    <w:rsid w:val="00302692"/>
    <w:rsid w:val="00307B69"/>
    <w:rsid w:val="0031019D"/>
    <w:rsid w:val="00310593"/>
    <w:rsid w:val="00313B2C"/>
    <w:rsid w:val="00313FE6"/>
    <w:rsid w:val="00322C3D"/>
    <w:rsid w:val="00322D5B"/>
    <w:rsid w:val="00322E40"/>
    <w:rsid w:val="003231CA"/>
    <w:rsid w:val="00326E81"/>
    <w:rsid w:val="00334AFC"/>
    <w:rsid w:val="00346271"/>
    <w:rsid w:val="0035409F"/>
    <w:rsid w:val="00355398"/>
    <w:rsid w:val="003554BE"/>
    <w:rsid w:val="003624CD"/>
    <w:rsid w:val="00367D9B"/>
    <w:rsid w:val="00373E0F"/>
    <w:rsid w:val="00377BDC"/>
    <w:rsid w:val="00381FD6"/>
    <w:rsid w:val="00386D60"/>
    <w:rsid w:val="003929FB"/>
    <w:rsid w:val="00395932"/>
    <w:rsid w:val="003A027C"/>
    <w:rsid w:val="003A2457"/>
    <w:rsid w:val="003A469F"/>
    <w:rsid w:val="003A5D36"/>
    <w:rsid w:val="003B01C1"/>
    <w:rsid w:val="003B1B51"/>
    <w:rsid w:val="003B1DF2"/>
    <w:rsid w:val="003B443A"/>
    <w:rsid w:val="003C0F2A"/>
    <w:rsid w:val="003C3EA8"/>
    <w:rsid w:val="003C42C1"/>
    <w:rsid w:val="003C5D44"/>
    <w:rsid w:val="003C6899"/>
    <w:rsid w:val="003D0233"/>
    <w:rsid w:val="003D0240"/>
    <w:rsid w:val="003D34EB"/>
    <w:rsid w:val="003D438A"/>
    <w:rsid w:val="003D62E0"/>
    <w:rsid w:val="003E1BB6"/>
    <w:rsid w:val="003E267C"/>
    <w:rsid w:val="003E3756"/>
    <w:rsid w:val="003E444B"/>
    <w:rsid w:val="003F27EB"/>
    <w:rsid w:val="003F291A"/>
    <w:rsid w:val="003F642D"/>
    <w:rsid w:val="003F7A7A"/>
    <w:rsid w:val="00401BA7"/>
    <w:rsid w:val="00410F16"/>
    <w:rsid w:val="00412E3C"/>
    <w:rsid w:val="004138D4"/>
    <w:rsid w:val="00413B8C"/>
    <w:rsid w:val="004157BB"/>
    <w:rsid w:val="0041683E"/>
    <w:rsid w:val="00421F7D"/>
    <w:rsid w:val="0042572D"/>
    <w:rsid w:val="00435DE7"/>
    <w:rsid w:val="004366DB"/>
    <w:rsid w:val="004425E6"/>
    <w:rsid w:val="00445A5B"/>
    <w:rsid w:val="004513B3"/>
    <w:rsid w:val="00453B99"/>
    <w:rsid w:val="00460E60"/>
    <w:rsid w:val="00461E33"/>
    <w:rsid w:val="00463A05"/>
    <w:rsid w:val="004641A7"/>
    <w:rsid w:val="004658E4"/>
    <w:rsid w:val="004714EC"/>
    <w:rsid w:val="004721C5"/>
    <w:rsid w:val="004731AC"/>
    <w:rsid w:val="00477132"/>
    <w:rsid w:val="004778D0"/>
    <w:rsid w:val="00477909"/>
    <w:rsid w:val="00480CD6"/>
    <w:rsid w:val="0048118D"/>
    <w:rsid w:val="004836F6"/>
    <w:rsid w:val="004864F1"/>
    <w:rsid w:val="00494081"/>
    <w:rsid w:val="004943F0"/>
    <w:rsid w:val="00494E0D"/>
    <w:rsid w:val="004B0B07"/>
    <w:rsid w:val="004B30E4"/>
    <w:rsid w:val="004B33BE"/>
    <w:rsid w:val="004B5CC3"/>
    <w:rsid w:val="004C745B"/>
    <w:rsid w:val="004D17CF"/>
    <w:rsid w:val="004D2369"/>
    <w:rsid w:val="004D25D8"/>
    <w:rsid w:val="004E2144"/>
    <w:rsid w:val="004F0A0C"/>
    <w:rsid w:val="004F474B"/>
    <w:rsid w:val="004F7BC2"/>
    <w:rsid w:val="00507DE6"/>
    <w:rsid w:val="0051058F"/>
    <w:rsid w:val="0051141C"/>
    <w:rsid w:val="00513EB7"/>
    <w:rsid w:val="00515778"/>
    <w:rsid w:val="005257D4"/>
    <w:rsid w:val="00531503"/>
    <w:rsid w:val="0053154E"/>
    <w:rsid w:val="00536D00"/>
    <w:rsid w:val="00551289"/>
    <w:rsid w:val="005558B0"/>
    <w:rsid w:val="0056188F"/>
    <w:rsid w:val="0056596D"/>
    <w:rsid w:val="005673FC"/>
    <w:rsid w:val="00571308"/>
    <w:rsid w:val="00572163"/>
    <w:rsid w:val="00576984"/>
    <w:rsid w:val="00586C8A"/>
    <w:rsid w:val="00587FEB"/>
    <w:rsid w:val="00596068"/>
    <w:rsid w:val="00597BC6"/>
    <w:rsid w:val="005A2B9E"/>
    <w:rsid w:val="005B208B"/>
    <w:rsid w:val="005B31AD"/>
    <w:rsid w:val="005B40F2"/>
    <w:rsid w:val="005B704A"/>
    <w:rsid w:val="005B7C8D"/>
    <w:rsid w:val="005C00B3"/>
    <w:rsid w:val="005C00B7"/>
    <w:rsid w:val="005C6FC4"/>
    <w:rsid w:val="005D620B"/>
    <w:rsid w:val="005D626B"/>
    <w:rsid w:val="005D7DB2"/>
    <w:rsid w:val="005E5093"/>
    <w:rsid w:val="005F1891"/>
    <w:rsid w:val="005F233A"/>
    <w:rsid w:val="005F35BB"/>
    <w:rsid w:val="005F635A"/>
    <w:rsid w:val="005F6EF7"/>
    <w:rsid w:val="005F7571"/>
    <w:rsid w:val="0060093E"/>
    <w:rsid w:val="00607DF8"/>
    <w:rsid w:val="0061170C"/>
    <w:rsid w:val="00612C31"/>
    <w:rsid w:val="00617266"/>
    <w:rsid w:val="0062107F"/>
    <w:rsid w:val="006226E1"/>
    <w:rsid w:val="00622945"/>
    <w:rsid w:val="006244A5"/>
    <w:rsid w:val="00626F90"/>
    <w:rsid w:val="00631DCD"/>
    <w:rsid w:val="006363C1"/>
    <w:rsid w:val="00643668"/>
    <w:rsid w:val="0064673E"/>
    <w:rsid w:val="00646F12"/>
    <w:rsid w:val="006477FA"/>
    <w:rsid w:val="00647BCE"/>
    <w:rsid w:val="00652F5B"/>
    <w:rsid w:val="00653109"/>
    <w:rsid w:val="00655E6F"/>
    <w:rsid w:val="00655E76"/>
    <w:rsid w:val="006562B9"/>
    <w:rsid w:val="00656943"/>
    <w:rsid w:val="006618EB"/>
    <w:rsid w:val="0066515F"/>
    <w:rsid w:val="00674087"/>
    <w:rsid w:val="00677076"/>
    <w:rsid w:val="00680D15"/>
    <w:rsid w:val="006843ED"/>
    <w:rsid w:val="006A066A"/>
    <w:rsid w:val="006A4B0A"/>
    <w:rsid w:val="006B2033"/>
    <w:rsid w:val="006B2E5C"/>
    <w:rsid w:val="006B31F9"/>
    <w:rsid w:val="006C00C5"/>
    <w:rsid w:val="006C7C6F"/>
    <w:rsid w:val="006D19DF"/>
    <w:rsid w:val="006D1B9D"/>
    <w:rsid w:val="006D5409"/>
    <w:rsid w:val="006D725B"/>
    <w:rsid w:val="006E2913"/>
    <w:rsid w:val="006F7F99"/>
    <w:rsid w:val="0070304E"/>
    <w:rsid w:val="007031C9"/>
    <w:rsid w:val="007031FD"/>
    <w:rsid w:val="00710788"/>
    <w:rsid w:val="00712D07"/>
    <w:rsid w:val="007158BB"/>
    <w:rsid w:val="0072038F"/>
    <w:rsid w:val="00724DBF"/>
    <w:rsid w:val="00725468"/>
    <w:rsid w:val="00733659"/>
    <w:rsid w:val="00737D6E"/>
    <w:rsid w:val="0074232F"/>
    <w:rsid w:val="00751D3E"/>
    <w:rsid w:val="007549F0"/>
    <w:rsid w:val="00755B83"/>
    <w:rsid w:val="0076085E"/>
    <w:rsid w:val="00761FCB"/>
    <w:rsid w:val="00762D32"/>
    <w:rsid w:val="00763944"/>
    <w:rsid w:val="00770A04"/>
    <w:rsid w:val="007748E5"/>
    <w:rsid w:val="00776A13"/>
    <w:rsid w:val="00776D83"/>
    <w:rsid w:val="007809D6"/>
    <w:rsid w:val="0078202D"/>
    <w:rsid w:val="00785820"/>
    <w:rsid w:val="00790B37"/>
    <w:rsid w:val="00790C61"/>
    <w:rsid w:val="00790F40"/>
    <w:rsid w:val="00794A47"/>
    <w:rsid w:val="007953BF"/>
    <w:rsid w:val="00795DF7"/>
    <w:rsid w:val="007A31B2"/>
    <w:rsid w:val="007A4F10"/>
    <w:rsid w:val="007A5A86"/>
    <w:rsid w:val="007B139B"/>
    <w:rsid w:val="007B1892"/>
    <w:rsid w:val="007B1AB0"/>
    <w:rsid w:val="007B2595"/>
    <w:rsid w:val="007B2FEF"/>
    <w:rsid w:val="007B7E32"/>
    <w:rsid w:val="007D2B9B"/>
    <w:rsid w:val="007D48D5"/>
    <w:rsid w:val="007F19BD"/>
    <w:rsid w:val="0081207F"/>
    <w:rsid w:val="00812838"/>
    <w:rsid w:val="0081538B"/>
    <w:rsid w:val="0081595A"/>
    <w:rsid w:val="008170EA"/>
    <w:rsid w:val="008311BB"/>
    <w:rsid w:val="00832962"/>
    <w:rsid w:val="00834711"/>
    <w:rsid w:val="00835C7A"/>
    <w:rsid w:val="008403AD"/>
    <w:rsid w:val="00850342"/>
    <w:rsid w:val="0085312A"/>
    <w:rsid w:val="00855877"/>
    <w:rsid w:val="00860937"/>
    <w:rsid w:val="00873059"/>
    <w:rsid w:val="00875CA6"/>
    <w:rsid w:val="008820D2"/>
    <w:rsid w:val="00882CE1"/>
    <w:rsid w:val="00883999"/>
    <w:rsid w:val="008863B2"/>
    <w:rsid w:val="0088685E"/>
    <w:rsid w:val="008930DB"/>
    <w:rsid w:val="008943FD"/>
    <w:rsid w:val="00894962"/>
    <w:rsid w:val="00897702"/>
    <w:rsid w:val="0089782B"/>
    <w:rsid w:val="008B14D1"/>
    <w:rsid w:val="008B496C"/>
    <w:rsid w:val="008C41CD"/>
    <w:rsid w:val="008C4423"/>
    <w:rsid w:val="008D330D"/>
    <w:rsid w:val="008D3417"/>
    <w:rsid w:val="008D378E"/>
    <w:rsid w:val="008D6071"/>
    <w:rsid w:val="008E25F6"/>
    <w:rsid w:val="008E4EF1"/>
    <w:rsid w:val="008E6454"/>
    <w:rsid w:val="008F0601"/>
    <w:rsid w:val="008F0FCF"/>
    <w:rsid w:val="008F119B"/>
    <w:rsid w:val="008F2826"/>
    <w:rsid w:val="008F674F"/>
    <w:rsid w:val="009035D1"/>
    <w:rsid w:val="0090796B"/>
    <w:rsid w:val="009124DB"/>
    <w:rsid w:val="0091415C"/>
    <w:rsid w:val="00916A1A"/>
    <w:rsid w:val="0092207E"/>
    <w:rsid w:val="00922803"/>
    <w:rsid w:val="00935DF3"/>
    <w:rsid w:val="009376C3"/>
    <w:rsid w:val="00943EE7"/>
    <w:rsid w:val="0094640C"/>
    <w:rsid w:val="009477FA"/>
    <w:rsid w:val="00947BD1"/>
    <w:rsid w:val="00947E60"/>
    <w:rsid w:val="0095059B"/>
    <w:rsid w:val="00951D50"/>
    <w:rsid w:val="00953460"/>
    <w:rsid w:val="0095754F"/>
    <w:rsid w:val="0097367F"/>
    <w:rsid w:val="0097484B"/>
    <w:rsid w:val="009749E4"/>
    <w:rsid w:val="0097552E"/>
    <w:rsid w:val="00975D55"/>
    <w:rsid w:val="009773AC"/>
    <w:rsid w:val="009774C8"/>
    <w:rsid w:val="009776DD"/>
    <w:rsid w:val="00977BFC"/>
    <w:rsid w:val="0099033C"/>
    <w:rsid w:val="00991979"/>
    <w:rsid w:val="009953C8"/>
    <w:rsid w:val="00996C0D"/>
    <w:rsid w:val="009971FA"/>
    <w:rsid w:val="009A631B"/>
    <w:rsid w:val="009B0C99"/>
    <w:rsid w:val="009B20DC"/>
    <w:rsid w:val="009B24BA"/>
    <w:rsid w:val="009B297D"/>
    <w:rsid w:val="009B5065"/>
    <w:rsid w:val="009B5916"/>
    <w:rsid w:val="009B67B0"/>
    <w:rsid w:val="009C0763"/>
    <w:rsid w:val="009C6F3C"/>
    <w:rsid w:val="009C7E01"/>
    <w:rsid w:val="009D0ACA"/>
    <w:rsid w:val="009D11A0"/>
    <w:rsid w:val="009D20E8"/>
    <w:rsid w:val="009D7563"/>
    <w:rsid w:val="009D7F6E"/>
    <w:rsid w:val="009E04AE"/>
    <w:rsid w:val="009E1A0C"/>
    <w:rsid w:val="009E6E93"/>
    <w:rsid w:val="009E6EB8"/>
    <w:rsid w:val="009E765B"/>
    <w:rsid w:val="009F4688"/>
    <w:rsid w:val="009F7689"/>
    <w:rsid w:val="00A01CB3"/>
    <w:rsid w:val="00A0221D"/>
    <w:rsid w:val="00A02B9C"/>
    <w:rsid w:val="00A02DE2"/>
    <w:rsid w:val="00A156E1"/>
    <w:rsid w:val="00A15E9F"/>
    <w:rsid w:val="00A27EF7"/>
    <w:rsid w:val="00A35292"/>
    <w:rsid w:val="00A42EC3"/>
    <w:rsid w:val="00A51AA8"/>
    <w:rsid w:val="00A51B6D"/>
    <w:rsid w:val="00A52850"/>
    <w:rsid w:val="00A55327"/>
    <w:rsid w:val="00A62CE5"/>
    <w:rsid w:val="00A6566F"/>
    <w:rsid w:val="00A67EC8"/>
    <w:rsid w:val="00A70D1E"/>
    <w:rsid w:val="00A72CDB"/>
    <w:rsid w:val="00A77351"/>
    <w:rsid w:val="00A863F6"/>
    <w:rsid w:val="00A914A7"/>
    <w:rsid w:val="00A93BEF"/>
    <w:rsid w:val="00A96352"/>
    <w:rsid w:val="00A974F4"/>
    <w:rsid w:val="00AA2341"/>
    <w:rsid w:val="00AA59F6"/>
    <w:rsid w:val="00AB31FF"/>
    <w:rsid w:val="00AB3680"/>
    <w:rsid w:val="00AB373B"/>
    <w:rsid w:val="00AC095B"/>
    <w:rsid w:val="00AC0E1F"/>
    <w:rsid w:val="00AC1208"/>
    <w:rsid w:val="00AC234B"/>
    <w:rsid w:val="00AC4806"/>
    <w:rsid w:val="00AD47C9"/>
    <w:rsid w:val="00AE6F12"/>
    <w:rsid w:val="00AE762F"/>
    <w:rsid w:val="00AF472A"/>
    <w:rsid w:val="00B00610"/>
    <w:rsid w:val="00B00B04"/>
    <w:rsid w:val="00B014E7"/>
    <w:rsid w:val="00B020C4"/>
    <w:rsid w:val="00B04F78"/>
    <w:rsid w:val="00B07964"/>
    <w:rsid w:val="00B10141"/>
    <w:rsid w:val="00B131BF"/>
    <w:rsid w:val="00B1475C"/>
    <w:rsid w:val="00B15883"/>
    <w:rsid w:val="00B23D06"/>
    <w:rsid w:val="00B25AFC"/>
    <w:rsid w:val="00B278C8"/>
    <w:rsid w:val="00B40741"/>
    <w:rsid w:val="00B45EF2"/>
    <w:rsid w:val="00B503D5"/>
    <w:rsid w:val="00B51374"/>
    <w:rsid w:val="00B5277F"/>
    <w:rsid w:val="00B574D0"/>
    <w:rsid w:val="00B60FB6"/>
    <w:rsid w:val="00B62283"/>
    <w:rsid w:val="00B62CAC"/>
    <w:rsid w:val="00B6426E"/>
    <w:rsid w:val="00B653E4"/>
    <w:rsid w:val="00B72AB7"/>
    <w:rsid w:val="00B82C45"/>
    <w:rsid w:val="00B84D0E"/>
    <w:rsid w:val="00B955EF"/>
    <w:rsid w:val="00B9693E"/>
    <w:rsid w:val="00B97DDB"/>
    <w:rsid w:val="00BA3FEC"/>
    <w:rsid w:val="00BA4907"/>
    <w:rsid w:val="00BA6C84"/>
    <w:rsid w:val="00BB1A6E"/>
    <w:rsid w:val="00BB3628"/>
    <w:rsid w:val="00BB7439"/>
    <w:rsid w:val="00BB7F07"/>
    <w:rsid w:val="00BC3E21"/>
    <w:rsid w:val="00BC56ED"/>
    <w:rsid w:val="00BC7A8D"/>
    <w:rsid w:val="00BD0B80"/>
    <w:rsid w:val="00BD2A3E"/>
    <w:rsid w:val="00BE0FBC"/>
    <w:rsid w:val="00BE7FF8"/>
    <w:rsid w:val="00BF4F74"/>
    <w:rsid w:val="00C00030"/>
    <w:rsid w:val="00C015B2"/>
    <w:rsid w:val="00C10D0E"/>
    <w:rsid w:val="00C139EA"/>
    <w:rsid w:val="00C13A25"/>
    <w:rsid w:val="00C166C8"/>
    <w:rsid w:val="00C20C58"/>
    <w:rsid w:val="00C232DB"/>
    <w:rsid w:val="00C237B7"/>
    <w:rsid w:val="00C244B1"/>
    <w:rsid w:val="00C25553"/>
    <w:rsid w:val="00C303BE"/>
    <w:rsid w:val="00C31C45"/>
    <w:rsid w:val="00C3217B"/>
    <w:rsid w:val="00C36BB8"/>
    <w:rsid w:val="00C409AA"/>
    <w:rsid w:val="00C47A72"/>
    <w:rsid w:val="00C53E6C"/>
    <w:rsid w:val="00C54F7E"/>
    <w:rsid w:val="00C571B3"/>
    <w:rsid w:val="00C57A67"/>
    <w:rsid w:val="00C60DE1"/>
    <w:rsid w:val="00C6398E"/>
    <w:rsid w:val="00C71681"/>
    <w:rsid w:val="00C748E0"/>
    <w:rsid w:val="00C82B58"/>
    <w:rsid w:val="00C90413"/>
    <w:rsid w:val="00C95907"/>
    <w:rsid w:val="00CA4D45"/>
    <w:rsid w:val="00CA6E8D"/>
    <w:rsid w:val="00CB47EF"/>
    <w:rsid w:val="00CB57BE"/>
    <w:rsid w:val="00CB5D99"/>
    <w:rsid w:val="00CB64AF"/>
    <w:rsid w:val="00CC3978"/>
    <w:rsid w:val="00CC6E69"/>
    <w:rsid w:val="00CE2CCC"/>
    <w:rsid w:val="00CE48F0"/>
    <w:rsid w:val="00CF0386"/>
    <w:rsid w:val="00CF3495"/>
    <w:rsid w:val="00CF4366"/>
    <w:rsid w:val="00CF4888"/>
    <w:rsid w:val="00CF716E"/>
    <w:rsid w:val="00D02B7F"/>
    <w:rsid w:val="00D05A2F"/>
    <w:rsid w:val="00D11964"/>
    <w:rsid w:val="00D16234"/>
    <w:rsid w:val="00D21D87"/>
    <w:rsid w:val="00D24744"/>
    <w:rsid w:val="00D24F33"/>
    <w:rsid w:val="00D25FDA"/>
    <w:rsid w:val="00D30858"/>
    <w:rsid w:val="00D32E3F"/>
    <w:rsid w:val="00D36623"/>
    <w:rsid w:val="00D370EE"/>
    <w:rsid w:val="00D41336"/>
    <w:rsid w:val="00D4219D"/>
    <w:rsid w:val="00D52391"/>
    <w:rsid w:val="00D532AB"/>
    <w:rsid w:val="00D61104"/>
    <w:rsid w:val="00D62A98"/>
    <w:rsid w:val="00D703DF"/>
    <w:rsid w:val="00D7069E"/>
    <w:rsid w:val="00D71619"/>
    <w:rsid w:val="00D874F4"/>
    <w:rsid w:val="00D920D1"/>
    <w:rsid w:val="00DA1A59"/>
    <w:rsid w:val="00DB445E"/>
    <w:rsid w:val="00DC0C2A"/>
    <w:rsid w:val="00DC443A"/>
    <w:rsid w:val="00DD17CB"/>
    <w:rsid w:val="00DD6D18"/>
    <w:rsid w:val="00DD7F7D"/>
    <w:rsid w:val="00DE2ED9"/>
    <w:rsid w:val="00DE634F"/>
    <w:rsid w:val="00DF0231"/>
    <w:rsid w:val="00DF0C75"/>
    <w:rsid w:val="00E03349"/>
    <w:rsid w:val="00E04750"/>
    <w:rsid w:val="00E10CC4"/>
    <w:rsid w:val="00E130A4"/>
    <w:rsid w:val="00E146F7"/>
    <w:rsid w:val="00E149D6"/>
    <w:rsid w:val="00E16BCF"/>
    <w:rsid w:val="00E174D3"/>
    <w:rsid w:val="00E22AE6"/>
    <w:rsid w:val="00E24405"/>
    <w:rsid w:val="00E245B1"/>
    <w:rsid w:val="00E259CF"/>
    <w:rsid w:val="00E30CEB"/>
    <w:rsid w:val="00E31CBF"/>
    <w:rsid w:val="00E3429A"/>
    <w:rsid w:val="00E36A06"/>
    <w:rsid w:val="00E36FA3"/>
    <w:rsid w:val="00E37561"/>
    <w:rsid w:val="00E42ED1"/>
    <w:rsid w:val="00E65B5B"/>
    <w:rsid w:val="00E67964"/>
    <w:rsid w:val="00E7070C"/>
    <w:rsid w:val="00E70C3D"/>
    <w:rsid w:val="00E73D31"/>
    <w:rsid w:val="00E81EE5"/>
    <w:rsid w:val="00E830DC"/>
    <w:rsid w:val="00E83766"/>
    <w:rsid w:val="00E871E7"/>
    <w:rsid w:val="00E90941"/>
    <w:rsid w:val="00E92725"/>
    <w:rsid w:val="00E9470F"/>
    <w:rsid w:val="00E96298"/>
    <w:rsid w:val="00EA3709"/>
    <w:rsid w:val="00EA6247"/>
    <w:rsid w:val="00EB04C4"/>
    <w:rsid w:val="00EB3C2F"/>
    <w:rsid w:val="00EB6103"/>
    <w:rsid w:val="00EC1F57"/>
    <w:rsid w:val="00EC20AC"/>
    <w:rsid w:val="00EC4103"/>
    <w:rsid w:val="00ED015E"/>
    <w:rsid w:val="00ED0266"/>
    <w:rsid w:val="00ED3389"/>
    <w:rsid w:val="00ED6772"/>
    <w:rsid w:val="00EF0450"/>
    <w:rsid w:val="00EF3E7E"/>
    <w:rsid w:val="00F002DA"/>
    <w:rsid w:val="00F00BB5"/>
    <w:rsid w:val="00F0178C"/>
    <w:rsid w:val="00F02C34"/>
    <w:rsid w:val="00F02D64"/>
    <w:rsid w:val="00F02FF0"/>
    <w:rsid w:val="00F103FD"/>
    <w:rsid w:val="00F10A65"/>
    <w:rsid w:val="00F10DFB"/>
    <w:rsid w:val="00F11312"/>
    <w:rsid w:val="00F14C98"/>
    <w:rsid w:val="00F22DE5"/>
    <w:rsid w:val="00F30D88"/>
    <w:rsid w:val="00F320AA"/>
    <w:rsid w:val="00F346FD"/>
    <w:rsid w:val="00F41D0E"/>
    <w:rsid w:val="00F4308F"/>
    <w:rsid w:val="00F5636C"/>
    <w:rsid w:val="00F567A0"/>
    <w:rsid w:val="00F60B9F"/>
    <w:rsid w:val="00F6420F"/>
    <w:rsid w:val="00F660E6"/>
    <w:rsid w:val="00F70313"/>
    <w:rsid w:val="00F70B90"/>
    <w:rsid w:val="00F714E2"/>
    <w:rsid w:val="00F81E22"/>
    <w:rsid w:val="00F85F60"/>
    <w:rsid w:val="00FA075D"/>
    <w:rsid w:val="00FA4F07"/>
    <w:rsid w:val="00FA53F5"/>
    <w:rsid w:val="00FA6DE2"/>
    <w:rsid w:val="00FB13FA"/>
    <w:rsid w:val="00FB1D64"/>
    <w:rsid w:val="00FC2FFE"/>
    <w:rsid w:val="00FC7806"/>
    <w:rsid w:val="00FD21B3"/>
    <w:rsid w:val="00FD3A57"/>
    <w:rsid w:val="00FD3A8E"/>
    <w:rsid w:val="00FD59D7"/>
    <w:rsid w:val="00FE1CE6"/>
    <w:rsid w:val="00FE32B4"/>
    <w:rsid w:val="00FE6216"/>
    <w:rsid w:val="00FF3464"/>
    <w:rsid w:val="00FF37F6"/>
    <w:rsid w:val="00FF5015"/>
    <w:rsid w:val="00FF6417"/>
    <w:rsid w:val="00FF71ED"/>
    <w:rsid w:val="00FF7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E2E82"/>
  <w15:docId w15:val="{5DF2FBE2-0860-4278-A1C7-BFA7D231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790B37"/>
    <w:pPr>
      <w:keepNext/>
      <w:numPr>
        <w:numId w:val="1"/>
      </w:numPr>
      <w:outlineLvl w:val="0"/>
    </w:pPr>
    <w:rPr>
      <w:rFonts w:eastAsiaTheme="majorEastAsia"/>
      <w:b/>
      <w:bCs/>
      <w:sz w:val="18"/>
      <w:szCs w:val="32"/>
    </w:rPr>
  </w:style>
  <w:style w:type="paragraph" w:styleId="Heading2">
    <w:name w:val="heading 2"/>
    <w:basedOn w:val="Normal"/>
    <w:next w:val="Normal"/>
    <w:link w:val="Heading2Char"/>
    <w:autoRedefine/>
    <w:uiPriority w:val="9"/>
    <w:unhideWhenUsed/>
    <w:qFormat/>
    <w:rsid w:val="00C015B2"/>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B37"/>
    <w:rPr>
      <w:rFonts w:eastAsiaTheme="majorEastAsia"/>
      <w:b/>
      <w:bCs/>
      <w:sz w:val="18"/>
      <w:szCs w:val="32"/>
    </w:rPr>
  </w:style>
  <w:style w:type="character" w:customStyle="1" w:styleId="Heading2Char">
    <w:name w:val="Heading 2 Char"/>
    <w:basedOn w:val="DefaultParagraphFont"/>
    <w:link w:val="Heading2"/>
    <w:uiPriority w:val="9"/>
    <w:rsid w:val="00C015B2"/>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nhideWhenUsed/>
    <w:rsid w:val="009B20DC"/>
    <w:pPr>
      <w:tabs>
        <w:tab w:val="center" w:pos="4320"/>
        <w:tab w:val="right" w:pos="8640"/>
      </w:tabs>
    </w:pPr>
  </w:style>
  <w:style w:type="character" w:customStyle="1" w:styleId="HeaderChar">
    <w:name w:val="Header Char"/>
    <w:basedOn w:val="DefaultParagraphFont"/>
    <w:link w:val="Header"/>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 w:type="character" w:styleId="Strong">
    <w:name w:val="Strong"/>
    <w:uiPriority w:val="22"/>
    <w:qFormat/>
    <w:rsid w:val="00F85F60"/>
    <w:rPr>
      <w:b/>
      <w:bCs/>
    </w:rPr>
  </w:style>
  <w:style w:type="paragraph" w:styleId="NormalWeb">
    <w:name w:val="Normal (Web)"/>
    <w:basedOn w:val="Normal"/>
    <w:uiPriority w:val="99"/>
    <w:rsid w:val="00F85F60"/>
    <w:pPr>
      <w:spacing w:before="100" w:beforeAutospacing="1" w:after="100" w:afterAutospacing="1"/>
    </w:pPr>
    <w:rPr>
      <w:rFonts w:eastAsia="Times New Roman"/>
    </w:rPr>
  </w:style>
  <w:style w:type="paragraph" w:customStyle="1" w:styleId="Default">
    <w:name w:val="Default"/>
    <w:rsid w:val="0062107F"/>
    <w:pPr>
      <w:autoSpaceDE w:val="0"/>
      <w:autoSpaceDN w:val="0"/>
      <w:adjustRightInd w:val="0"/>
    </w:pPr>
    <w:rPr>
      <w:rFonts w:ascii="Verdana" w:eastAsia="Times New Roman" w:hAnsi="Verdana" w:cs="Verdana"/>
      <w:color w:val="000000"/>
    </w:rPr>
  </w:style>
  <w:style w:type="paragraph" w:styleId="BodyText">
    <w:name w:val="Body Text"/>
    <w:basedOn w:val="Normal"/>
    <w:link w:val="BodyTextChar"/>
    <w:rsid w:val="00C31C45"/>
    <w:rPr>
      <w:rFonts w:ascii="Arial" w:eastAsia="Times New Roman" w:hAnsi="Arial"/>
      <w:b/>
      <w:szCs w:val="20"/>
    </w:rPr>
  </w:style>
  <w:style w:type="character" w:customStyle="1" w:styleId="BodyTextChar">
    <w:name w:val="Body Text Char"/>
    <w:basedOn w:val="DefaultParagraphFont"/>
    <w:link w:val="BodyText"/>
    <w:rsid w:val="00C31C45"/>
    <w:rPr>
      <w:rFonts w:ascii="Arial" w:eastAsia="Times New Roman" w:hAnsi="Arial"/>
      <w:b/>
      <w:szCs w:val="20"/>
    </w:rPr>
  </w:style>
  <w:style w:type="paragraph" w:styleId="CommentText">
    <w:name w:val="annotation text"/>
    <w:basedOn w:val="Normal"/>
    <w:link w:val="CommentTextChar"/>
    <w:rsid w:val="004F0A0C"/>
    <w:rPr>
      <w:rFonts w:eastAsia="Times New Roman"/>
      <w:sz w:val="20"/>
      <w:szCs w:val="20"/>
    </w:rPr>
  </w:style>
  <w:style w:type="character" w:customStyle="1" w:styleId="CommentTextChar">
    <w:name w:val="Comment Text Char"/>
    <w:basedOn w:val="DefaultParagraphFont"/>
    <w:link w:val="CommentText"/>
    <w:rsid w:val="004F0A0C"/>
    <w:rPr>
      <w:rFonts w:eastAsia="Times New Roman"/>
      <w:sz w:val="20"/>
      <w:szCs w:val="20"/>
    </w:rPr>
  </w:style>
  <w:style w:type="paragraph" w:styleId="List3">
    <w:name w:val="List 3"/>
    <w:basedOn w:val="Normal"/>
    <w:rsid w:val="009D0ACA"/>
    <w:pPr>
      <w:ind w:left="1080" w:hanging="360"/>
    </w:pPr>
    <w:rPr>
      <w:rFonts w:eastAsia="Times New Roman"/>
      <w:sz w:val="20"/>
      <w:szCs w:val="20"/>
    </w:rPr>
  </w:style>
  <w:style w:type="character" w:customStyle="1" w:styleId="field-content5">
    <w:name w:val="field-content5"/>
    <w:basedOn w:val="DefaultParagraphFont"/>
    <w:rsid w:val="009D0ACA"/>
  </w:style>
  <w:style w:type="character" w:styleId="CommentReference">
    <w:name w:val="annotation reference"/>
    <w:basedOn w:val="DefaultParagraphFont"/>
    <w:uiPriority w:val="99"/>
    <w:semiHidden/>
    <w:unhideWhenUsed/>
    <w:rsid w:val="00034091"/>
    <w:rPr>
      <w:sz w:val="16"/>
      <w:szCs w:val="16"/>
    </w:rPr>
  </w:style>
  <w:style w:type="paragraph" w:styleId="CommentSubject">
    <w:name w:val="annotation subject"/>
    <w:basedOn w:val="CommentText"/>
    <w:next w:val="CommentText"/>
    <w:link w:val="CommentSubjectChar"/>
    <w:uiPriority w:val="99"/>
    <w:semiHidden/>
    <w:unhideWhenUsed/>
    <w:rsid w:val="00034091"/>
    <w:rPr>
      <w:rFonts w:eastAsiaTheme="minorEastAsia"/>
      <w:b/>
      <w:bCs/>
    </w:rPr>
  </w:style>
  <w:style w:type="character" w:customStyle="1" w:styleId="CommentSubjectChar">
    <w:name w:val="Comment Subject Char"/>
    <w:basedOn w:val="CommentTextChar"/>
    <w:link w:val="CommentSubject"/>
    <w:uiPriority w:val="99"/>
    <w:semiHidden/>
    <w:rsid w:val="00034091"/>
    <w:rPr>
      <w:rFonts w:eastAsia="Times New Roman"/>
      <w:b/>
      <w:bCs/>
      <w:sz w:val="20"/>
      <w:szCs w:val="20"/>
    </w:rPr>
  </w:style>
  <w:style w:type="character" w:customStyle="1" w:styleId="cf01">
    <w:name w:val="cf01"/>
    <w:basedOn w:val="DefaultParagraphFont"/>
    <w:rsid w:val="0034627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76CA-6E4C-45E6-8DD1-0D0F7008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Kristen Brahier</cp:lastModifiedBy>
  <cp:revision>2</cp:revision>
  <cp:lastPrinted>2013-11-14T16:38:00Z</cp:lastPrinted>
  <dcterms:created xsi:type="dcterms:W3CDTF">2022-07-18T19:48:00Z</dcterms:created>
  <dcterms:modified xsi:type="dcterms:W3CDTF">2022-07-18T19:48:00Z</dcterms:modified>
</cp:coreProperties>
</file>